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leftChars="-67" w:hanging="140" w:hangingChars="50"/>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1</w:t>
      </w:r>
    </w:p>
    <w:p>
      <w:pPr>
        <w:widowControl/>
        <w:spacing w:before="100" w:beforeAutospacing="1" w:after="100" w:afterAutospacing="1"/>
        <w:jc w:val="center"/>
        <w:rPr>
          <w:rFonts w:hint="eastAsia" w:ascii="方正小标宋简体" w:hAnsi="方正小标宋简体" w:eastAsia="方正小标宋简体" w:cs="方正小标宋简体"/>
          <w:b w:val="0"/>
          <w:bCs/>
          <w:spacing w:val="-20"/>
          <w:kern w:val="0"/>
          <w:sz w:val="44"/>
          <w:szCs w:val="44"/>
        </w:rPr>
      </w:pPr>
      <w:r>
        <w:rPr>
          <w:rFonts w:hint="eastAsia" w:ascii="方正小标宋简体" w:hAnsi="方正小标宋简体" w:eastAsia="方正小标宋简体" w:cs="方正小标宋简体"/>
          <w:b w:val="0"/>
          <w:bCs/>
          <w:spacing w:val="-20"/>
          <w:kern w:val="0"/>
          <w:sz w:val="44"/>
          <w:szCs w:val="44"/>
        </w:rPr>
        <w:t>广东省人民医院虚拟化计算资源扩容项目需求</w:t>
      </w:r>
    </w:p>
    <w:p>
      <w:pPr>
        <w:pStyle w:val="8"/>
        <w:widowControl/>
        <w:numPr>
          <w:ilvl w:val="0"/>
          <w:numId w:val="1"/>
        </w:numPr>
        <w:spacing w:before="100" w:beforeAutospacing="1" w:after="100" w:afterAutospacing="1"/>
        <w:ind w:firstLineChars="0"/>
        <w:jc w:val="left"/>
        <w:rPr>
          <w:rFonts w:ascii="宋体" w:hAnsi="宋体" w:eastAsia="宋体" w:cs="宋体"/>
          <w:b/>
          <w:kern w:val="0"/>
          <w:sz w:val="24"/>
        </w:rPr>
      </w:pPr>
      <w:r>
        <w:rPr>
          <w:rFonts w:ascii="宋体" w:hAnsi="宋体" w:eastAsia="宋体" w:cs="宋体"/>
          <w:b/>
          <w:kern w:val="0"/>
          <w:sz w:val="24"/>
        </w:rPr>
        <w:t xml:space="preserve">采购设备清单 </w:t>
      </w:r>
    </w:p>
    <w:tbl>
      <w:tblPr>
        <w:tblStyle w:val="6"/>
        <w:tblpPr w:leftFromText="180" w:rightFromText="180" w:vertAnchor="text" w:horzAnchor="margin" w:tblpY="4"/>
        <w:tblW w:w="6232" w:type="dxa"/>
        <w:tblInd w:w="0" w:type="dxa"/>
        <w:tblLayout w:type="autofit"/>
        <w:tblCellMar>
          <w:top w:w="15" w:type="dxa"/>
          <w:left w:w="15" w:type="dxa"/>
          <w:bottom w:w="15" w:type="dxa"/>
          <w:right w:w="15" w:type="dxa"/>
        </w:tblCellMar>
      </w:tblPr>
      <w:tblGrid>
        <w:gridCol w:w="820"/>
        <w:gridCol w:w="3995"/>
        <w:gridCol w:w="1417"/>
      </w:tblGrid>
      <w:tr>
        <w:tblPrEx>
          <w:tblCellMar>
            <w:top w:w="15" w:type="dxa"/>
            <w:left w:w="15" w:type="dxa"/>
            <w:bottom w:w="15" w:type="dxa"/>
            <w:right w:w="15" w:type="dxa"/>
          </w:tblCellMar>
        </w:tblPrEx>
        <w:trPr>
          <w:trHeight w:val="581"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szCs w:val="22"/>
              </w:rPr>
              <w:t>序号</w:t>
            </w:r>
          </w:p>
        </w:tc>
        <w:tc>
          <w:tcPr>
            <w:tcW w:w="399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szCs w:val="22"/>
              </w:rPr>
              <w:t>设备名称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szCs w:val="22"/>
              </w:rPr>
              <w:t>总数</w:t>
            </w:r>
          </w:p>
        </w:tc>
      </w:tr>
      <w:tr>
        <w:tblPrEx>
          <w:tblCellMar>
            <w:top w:w="15" w:type="dxa"/>
            <w:left w:w="15" w:type="dxa"/>
            <w:bottom w:w="15" w:type="dxa"/>
            <w:right w:w="15" w:type="dxa"/>
          </w:tblCellMar>
        </w:tblPrEx>
        <w:trPr>
          <w:trHeight w:val="61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szCs w:val="22"/>
              </w:rPr>
              <w:t>1</w:t>
            </w:r>
          </w:p>
        </w:tc>
        <w:tc>
          <w:tcPr>
            <w:tcW w:w="399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2"/>
                <w:szCs w:val="22"/>
              </w:rPr>
            </w:pPr>
            <w:r>
              <w:rPr>
                <w:rFonts w:hint="eastAsia" w:ascii="宋体" w:hAnsi="宋体" w:eastAsia="宋体" w:cs="宋体"/>
                <w:kern w:val="0"/>
                <w:sz w:val="22"/>
                <w:szCs w:val="22"/>
              </w:rPr>
              <w:t>超融合一体机（含交换及虚拟化套件）</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一套</w:t>
            </w:r>
          </w:p>
        </w:tc>
      </w:tr>
    </w:tbl>
    <w:p>
      <w:pPr>
        <w:widowControl/>
        <w:spacing w:before="100" w:beforeAutospacing="1" w:after="100" w:afterAutospacing="1"/>
        <w:jc w:val="left"/>
        <w:rPr>
          <w:rFonts w:ascii="宋体" w:hAnsi="宋体" w:eastAsia="宋体" w:cs="宋体"/>
          <w:kern w:val="0"/>
          <w:sz w:val="24"/>
        </w:rPr>
      </w:pPr>
    </w:p>
    <w:p>
      <w:pPr>
        <w:widowControl/>
        <w:spacing w:before="100" w:beforeAutospacing="1" w:after="100" w:afterAutospacing="1"/>
        <w:jc w:val="left"/>
        <w:rPr>
          <w:rFonts w:ascii="宋体" w:hAnsi="宋体" w:eastAsia="宋体" w:cs="宋体"/>
          <w:kern w:val="0"/>
          <w:sz w:val="24"/>
        </w:rPr>
      </w:pPr>
    </w:p>
    <w:p>
      <w:pPr>
        <w:widowControl/>
        <w:spacing w:before="100" w:beforeAutospacing="1" w:after="100" w:afterAutospacing="1"/>
        <w:jc w:val="left"/>
        <w:rPr>
          <w:rFonts w:ascii="宋体" w:hAnsi="宋体" w:eastAsia="宋体" w:cs="宋体"/>
          <w:kern w:val="0"/>
          <w:sz w:val="24"/>
        </w:rPr>
      </w:pPr>
    </w:p>
    <w:p>
      <w:pPr>
        <w:pStyle w:val="8"/>
        <w:widowControl/>
        <w:numPr>
          <w:ilvl w:val="0"/>
          <w:numId w:val="1"/>
        </w:numPr>
        <w:spacing w:before="100" w:beforeAutospacing="1" w:after="100" w:afterAutospacing="1"/>
        <w:ind w:firstLineChars="0"/>
        <w:jc w:val="left"/>
        <w:rPr>
          <w:rFonts w:ascii="宋体" w:hAnsi="宋体" w:eastAsia="宋体" w:cs="宋体"/>
          <w:b/>
          <w:kern w:val="0"/>
          <w:sz w:val="24"/>
        </w:rPr>
      </w:pPr>
      <w:r>
        <w:rPr>
          <w:rFonts w:hint="eastAsia" w:ascii="宋体" w:hAnsi="宋体" w:eastAsia="宋体" w:cs="宋体"/>
          <w:b/>
          <w:kern w:val="0"/>
          <w:sz w:val="24"/>
        </w:rPr>
        <w:t>超融合</w:t>
      </w:r>
      <w:r>
        <w:rPr>
          <w:rFonts w:ascii="宋体" w:hAnsi="宋体" w:eastAsia="宋体" w:cs="宋体"/>
          <w:b/>
          <w:kern w:val="0"/>
          <w:sz w:val="24"/>
        </w:rPr>
        <w:t>参数要求</w:t>
      </w:r>
    </w:p>
    <w:tbl>
      <w:tblPr>
        <w:tblStyle w:val="6"/>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7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blHeader/>
          <w:jc w:val="center"/>
        </w:trPr>
        <w:tc>
          <w:tcPr>
            <w:tcW w:w="1347" w:type="dxa"/>
            <w:vAlign w:val="center"/>
          </w:tcPr>
          <w:p>
            <w:pPr>
              <w:keepNext w:val="0"/>
              <w:keepLines w:val="0"/>
              <w:pageBreakBefore w:val="0"/>
              <w:kinsoku/>
              <w:wordWrap/>
              <w:overflowPunct/>
              <w:topLinePunct w:val="0"/>
              <w:autoSpaceDE/>
              <w:autoSpaceDN/>
              <w:bidi w:val="0"/>
              <w:adjustRightInd/>
              <w:snapToGrid w:val="0"/>
              <w:spacing w:beforeAutospacing="0" w:afterAutospacing="0"/>
              <w:jc w:val="center"/>
              <w:textAlignment w:val="auto"/>
              <w:rPr>
                <w:rFonts w:ascii="宋体" w:hAnsi="宋体" w:cs="宋体"/>
                <w:szCs w:val="21"/>
              </w:rPr>
            </w:pPr>
            <w:r>
              <w:rPr>
                <w:rFonts w:hint="eastAsia"/>
                <w:szCs w:val="21"/>
              </w:rPr>
              <w:t>指标项</w:t>
            </w:r>
          </w:p>
        </w:tc>
        <w:tc>
          <w:tcPr>
            <w:tcW w:w="7524" w:type="dxa"/>
            <w:vAlign w:val="center"/>
          </w:tcPr>
          <w:p>
            <w:pPr>
              <w:keepNext w:val="0"/>
              <w:keepLines w:val="0"/>
              <w:pageBreakBefore w:val="0"/>
              <w:kinsoku/>
              <w:wordWrap/>
              <w:overflowPunct/>
              <w:topLinePunct w:val="0"/>
              <w:autoSpaceDE/>
              <w:autoSpaceDN/>
              <w:bidi w:val="0"/>
              <w:adjustRightInd/>
              <w:snapToGrid w:val="0"/>
              <w:spacing w:beforeAutospacing="0" w:afterAutospacing="0"/>
              <w:jc w:val="center"/>
              <w:textAlignment w:val="auto"/>
              <w:rPr>
                <w:rFonts w:ascii="宋体" w:hAnsi="宋体" w:cs="宋体"/>
                <w:szCs w:val="21"/>
              </w:rPr>
            </w:pPr>
            <w:r>
              <w:rPr>
                <w:rFonts w:hint="eastAsia"/>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7" w:type="dxa"/>
            <w:vAlign w:val="center"/>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hint="eastAsia" w:ascii="宋体" w:hAnsi="宋体" w:cs="宋体"/>
                <w:szCs w:val="21"/>
              </w:rPr>
              <w:t>品牌要求</w:t>
            </w: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b/>
                <w:szCs w:val="21"/>
              </w:rPr>
            </w:pPr>
            <w:r>
              <w:rPr>
                <w:rFonts w:hint="eastAsia" w:ascii="宋体" w:hAnsi="宋体" w:cs="宋体"/>
                <w:szCs w:val="21"/>
              </w:rPr>
              <w:t>超融合设备采用统一的国内知名品牌，非OEM贴牌产品；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347" w:type="dxa"/>
            <w:vAlign w:val="center"/>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hint="eastAsia" w:ascii="宋体" w:hAnsi="宋体" w:cs="宋体"/>
                <w:szCs w:val="21"/>
              </w:rPr>
              <w:t>基本要求</w:t>
            </w: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基本要求如下：</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超融合一体机</w:t>
            </w:r>
            <w:r>
              <w:rPr>
                <w:rFonts w:ascii="宋体" w:hAnsi="宋体" w:cs="宋体"/>
                <w:szCs w:val="21"/>
              </w:rPr>
              <w:t>4</w:t>
            </w:r>
            <w:r>
              <w:rPr>
                <w:rFonts w:hint="eastAsia" w:ascii="宋体" w:hAnsi="宋体" w:cs="宋体"/>
                <w:szCs w:val="21"/>
              </w:rPr>
              <w:t>节点，</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单节点配置要求：</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CPU</w:t>
            </w:r>
            <w:r>
              <w:rPr>
                <w:rFonts w:ascii="宋体" w:hAnsi="宋体" w:cs="宋体"/>
                <w:szCs w:val="21"/>
              </w:rPr>
              <w:t xml:space="preserve"> </w:t>
            </w:r>
            <w:r>
              <w:rPr>
                <w:rFonts w:hint="eastAsia" w:ascii="宋体" w:hAnsi="宋体" w:cs="宋体"/>
                <w:szCs w:val="21"/>
              </w:rPr>
              <w:t>≥ 2颗1</w:t>
            </w:r>
            <w:r>
              <w:rPr>
                <w:rFonts w:ascii="宋体" w:hAnsi="宋体" w:cs="宋体"/>
                <w:szCs w:val="21"/>
              </w:rPr>
              <w:t>6</w:t>
            </w:r>
            <w:r>
              <w:rPr>
                <w:rFonts w:hint="eastAsia" w:ascii="宋体" w:hAnsi="宋体" w:cs="宋体"/>
                <w:szCs w:val="21"/>
              </w:rPr>
              <w:t>核心</w:t>
            </w:r>
            <w:r>
              <w:rPr>
                <w:rFonts w:hint="eastAsia" w:ascii="宋体" w:hAnsi="宋体" w:eastAsia="宋体" w:cs="宋体"/>
                <w:kern w:val="0"/>
                <w:szCs w:val="21"/>
              </w:rPr>
              <w:t xml:space="preserve">Xeon Gold </w:t>
            </w:r>
            <w:r>
              <w:rPr>
                <w:rFonts w:ascii="宋体" w:hAnsi="宋体" w:eastAsia="宋体" w:cs="宋体"/>
                <w:kern w:val="0"/>
                <w:szCs w:val="21"/>
              </w:rPr>
              <w:t>5218</w:t>
            </w:r>
            <w:r>
              <w:rPr>
                <w:rFonts w:hint="eastAsia" w:ascii="宋体" w:hAnsi="宋体" w:cs="宋体"/>
                <w:szCs w:val="21"/>
              </w:rPr>
              <w:t>,主频≥2.</w:t>
            </w:r>
            <w:r>
              <w:rPr>
                <w:rFonts w:ascii="宋体" w:hAnsi="宋体" w:cs="宋体"/>
                <w:szCs w:val="21"/>
              </w:rPr>
              <w:t>3</w:t>
            </w:r>
            <w:r>
              <w:rPr>
                <w:rFonts w:hint="eastAsia" w:ascii="宋体" w:hAnsi="宋体" w:cs="宋体"/>
                <w:szCs w:val="21"/>
              </w:rPr>
              <w:t>Ghz；</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M</w:t>
            </w:r>
            <w:r>
              <w:rPr>
                <w:rFonts w:ascii="宋体" w:hAnsi="宋体" w:cs="宋体"/>
                <w:szCs w:val="21"/>
              </w:rPr>
              <w:t xml:space="preserve">emory </w:t>
            </w:r>
            <w:r>
              <w:rPr>
                <w:rFonts w:hint="eastAsia" w:ascii="宋体" w:hAnsi="宋体" w:cs="宋体"/>
                <w:szCs w:val="21"/>
              </w:rPr>
              <w:t>≥ 512GB；</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 xml:space="preserve">SSD </w:t>
            </w:r>
            <w:r>
              <w:rPr>
                <w:rFonts w:hint="eastAsia" w:ascii="宋体" w:hAnsi="宋体" w:cs="宋体"/>
                <w:szCs w:val="21"/>
              </w:rPr>
              <w:t>≥ 8</w:t>
            </w:r>
            <w:r>
              <w:rPr>
                <w:rFonts w:ascii="宋体" w:hAnsi="宋体" w:cs="宋体"/>
                <w:szCs w:val="21"/>
              </w:rPr>
              <w:t xml:space="preserve"> x 1.92</w:t>
            </w:r>
            <w:r>
              <w:rPr>
                <w:rFonts w:hint="eastAsia" w:ascii="宋体" w:hAnsi="宋体" w:cs="宋体"/>
                <w:szCs w:val="21"/>
              </w:rPr>
              <w:t>TB</w:t>
            </w:r>
            <w:r>
              <w:rPr>
                <w:rFonts w:ascii="宋体" w:hAnsi="宋体" w:cs="宋体"/>
                <w:szCs w:val="21"/>
              </w:rPr>
              <w:t xml:space="preserve"> SATA SSD 3DWPD</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N</w:t>
            </w:r>
            <w:r>
              <w:rPr>
                <w:rFonts w:ascii="宋体" w:hAnsi="宋体" w:cs="宋体"/>
                <w:szCs w:val="21"/>
              </w:rPr>
              <w:t xml:space="preserve">ic </w:t>
            </w:r>
            <w:r>
              <w:rPr>
                <w:rFonts w:hint="eastAsia" w:ascii="宋体" w:hAnsi="宋体" w:cs="宋体"/>
                <w:szCs w:val="21"/>
              </w:rPr>
              <w:t xml:space="preserve">≥ </w:t>
            </w:r>
            <w:r>
              <w:rPr>
                <w:rFonts w:ascii="宋体" w:hAnsi="宋体" w:cs="宋体"/>
                <w:szCs w:val="21"/>
              </w:rPr>
              <w:t>4</w:t>
            </w:r>
            <w:r>
              <w:rPr>
                <w:rFonts w:hint="eastAsia" w:ascii="宋体" w:hAnsi="宋体" w:cs="宋体"/>
                <w:szCs w:val="21"/>
              </w:rPr>
              <w:t>个10Gb SFP+网口（含光模块）和2个1Gb电端口，并有1个IPMI 管理端口；</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B</w:t>
            </w:r>
            <w:r>
              <w:rPr>
                <w:rFonts w:hint="eastAsia" w:ascii="宋体" w:hAnsi="宋体" w:cs="宋体"/>
                <w:szCs w:val="21"/>
              </w:rPr>
              <w:t>、超融合架构，采用软硬一体模块化设计，避免兼容性问题，提高系统可靠性；机箱高度不超过2U。</w:t>
            </w:r>
          </w:p>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C</w:t>
            </w:r>
            <w:r>
              <w:rPr>
                <w:rFonts w:hint="eastAsia" w:ascii="宋体" w:hAnsi="宋体" w:cs="宋体"/>
                <w:szCs w:val="21"/>
              </w:rPr>
              <w:t>、超融合系统具备计算、网络、存储、电源和风扇等部件的冗余。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47" w:type="dxa"/>
            <w:vMerge w:val="restart"/>
            <w:vAlign w:val="center"/>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hint="eastAsia" w:ascii="宋体" w:hAnsi="宋体" w:cs="宋体"/>
                <w:szCs w:val="21"/>
              </w:rPr>
              <w:t>技术性能</w:t>
            </w: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必须提供企业级分布式文件的解决方案，不接受采用开源产品（例如GlusterFS、Ceph等）进行二次开发</w:t>
            </w:r>
            <w:r>
              <w:rPr>
                <w:rFonts w:hint="eastAsia" w:ascii="宋体" w:hAnsi="宋体" w:cs="宋体"/>
                <w:szCs w:val="21"/>
              </w:rPr>
              <w:t>或OEM产品，厂商拥有完全的自主知识产权及软件著作权。提供原厂证明文件并加盖原厂公章。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支持</w:t>
            </w:r>
            <w:r>
              <w:rPr>
                <w:rFonts w:ascii="宋体" w:hAnsi="宋体" w:cs="宋体"/>
                <w:szCs w:val="21"/>
              </w:rPr>
              <w:t xml:space="preserve"> KVM</w:t>
            </w:r>
            <w:r>
              <w:rPr>
                <w:rFonts w:hint="eastAsia" w:ascii="宋体" w:hAnsi="宋体" w:cs="宋体"/>
                <w:szCs w:val="21"/>
              </w:rPr>
              <w:t>、V</w:t>
            </w:r>
            <w:r>
              <w:rPr>
                <w:rFonts w:ascii="宋体" w:hAnsi="宋体" w:cs="宋体"/>
                <w:szCs w:val="21"/>
              </w:rPr>
              <w:t>Mware</w:t>
            </w:r>
            <w:r>
              <w:rPr>
                <w:rFonts w:hint="eastAsia" w:ascii="宋体" w:hAnsi="宋体" w:cs="宋体"/>
                <w:szCs w:val="21"/>
              </w:rPr>
              <w:t>、X</w:t>
            </w:r>
            <w:r>
              <w:rPr>
                <w:rFonts w:ascii="宋体" w:hAnsi="宋体" w:cs="宋体"/>
                <w:szCs w:val="21"/>
              </w:rPr>
              <w:t>enServer</w:t>
            </w:r>
            <w:r>
              <w:rPr>
                <w:rFonts w:hint="eastAsia" w:ascii="宋体" w:hAnsi="宋体" w:cs="宋体"/>
                <w:szCs w:val="21"/>
              </w:rPr>
              <w:t>等虚拟化软件，可供用户灵活选择。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必须提供超融合</w:t>
            </w:r>
            <w:r>
              <w:rPr>
                <w:rFonts w:ascii="宋体" w:hAnsi="宋体" w:cs="宋体"/>
                <w:szCs w:val="21"/>
              </w:rPr>
              <w:t>软件</w:t>
            </w:r>
            <w:r>
              <w:rPr>
                <w:rFonts w:hint="eastAsia" w:ascii="宋体" w:hAnsi="宋体" w:cs="宋体"/>
                <w:szCs w:val="21"/>
              </w:rPr>
              <w:t>企业版或更高版本的永久使用授权，不接受订阅版授权。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单一集群最少3节点起步</w:t>
            </w:r>
            <w:r>
              <w:rPr>
                <w:rFonts w:ascii="宋体" w:hAnsi="宋体" w:cs="宋体"/>
                <w:szCs w:val="21"/>
              </w:rPr>
              <w:t>，</w:t>
            </w:r>
            <w:r>
              <w:rPr>
                <w:rFonts w:hint="eastAsia" w:ascii="宋体" w:hAnsi="宋体" w:cs="宋体"/>
                <w:szCs w:val="21"/>
              </w:rPr>
              <w:t>最大不小于</w:t>
            </w:r>
            <w:r>
              <w:rPr>
                <w:rFonts w:ascii="宋体" w:hAnsi="宋体" w:cs="宋体"/>
                <w:szCs w:val="21"/>
              </w:rPr>
              <w:t>254节点，支持以1个节点为单位进行扩容，自动发现新增节点，在不中断业务的情况下将新节点自动或手动加入现有集群中，实现集群计算和存储资源的无缝扩展</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采用符合超融合特性的分布式架构，将所有节点的存储空间无缝融合为单一的存储池，</w:t>
            </w:r>
            <w:r>
              <w:rPr>
                <w:rFonts w:hint="eastAsia" w:ascii="宋体" w:hAnsi="宋体" w:cs="宋体"/>
                <w:szCs w:val="21"/>
              </w:rPr>
              <w:t>同时数据采用元数据集中管理，非一致性哈希算法。</w:t>
            </w:r>
            <w:r>
              <w:rPr>
                <w:rFonts w:ascii="宋体" w:hAnsi="宋体" w:cs="宋体"/>
                <w:szCs w:val="21"/>
              </w:rPr>
              <w:t>节</w:t>
            </w:r>
            <w:r>
              <w:rPr>
                <w:rFonts w:hint="eastAsia" w:ascii="宋体" w:hAnsi="宋体" w:cs="宋体"/>
                <w:szCs w:val="21"/>
              </w:rPr>
              <w:t>点</w:t>
            </w:r>
            <w:r>
              <w:rPr>
                <w:rFonts w:ascii="宋体" w:hAnsi="宋体" w:cs="宋体"/>
                <w:szCs w:val="21"/>
              </w:rPr>
              <w:t>间无主次之分,无计算、存储、管理节点之分</w:t>
            </w:r>
            <w:r>
              <w:rPr>
                <w:rFonts w:hint="eastAsia" w:ascii="宋体" w:hAnsi="宋体" w:cs="宋体"/>
                <w:szCs w:val="21"/>
              </w:rPr>
              <w:t>，</w:t>
            </w:r>
            <w:r>
              <w:rPr>
                <w:rFonts w:ascii="宋体" w:hAnsi="宋体" w:cs="宋体"/>
                <w:szCs w:val="21"/>
              </w:rPr>
              <w:t>每个节点同时提供计算和存储服务</w:t>
            </w:r>
            <w:r>
              <w:rPr>
                <w:rFonts w:hint="eastAsia" w:ascii="宋体" w:hAnsi="宋体" w:cs="宋体"/>
                <w:szCs w:val="21"/>
              </w:rPr>
              <w:t>，</w:t>
            </w:r>
            <w:r>
              <w:rPr>
                <w:rFonts w:ascii="宋体" w:hAnsi="宋体" w:cs="宋体"/>
                <w:szCs w:val="21"/>
              </w:rPr>
              <w:t>无专用SAN存储。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超融合</w:t>
            </w:r>
            <w:r>
              <w:rPr>
                <w:rFonts w:ascii="宋体" w:hAnsi="宋体" w:cs="宋体"/>
                <w:szCs w:val="21"/>
              </w:rPr>
              <w:t>软件资源占用不超过6vCUP，16GB内存</w:t>
            </w:r>
            <w:r>
              <w:rPr>
                <w:rFonts w:hint="eastAsia" w:ascii="宋体" w:hAnsi="宋体" w:cs="宋体"/>
                <w:szCs w:val="21"/>
              </w:rPr>
              <w:t>，预留更多业务可用的计算资源</w:t>
            </w:r>
            <w:r>
              <w:rPr>
                <w:rFonts w:ascii="宋体" w:hAnsi="宋体" w:cs="宋体"/>
                <w:szCs w:val="21"/>
              </w:rPr>
              <w:t>。</w:t>
            </w:r>
            <w:r>
              <w:rPr>
                <w:rFonts w:hint="eastAsia" w:ascii="宋体" w:hAnsi="宋体" w:cs="宋体"/>
                <w:szCs w:val="21"/>
              </w:rPr>
              <w:t>提供原厂证明文件并加盖原厂公章。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冷热分层，软件自动将经常访问的热数据缓存到SSD磁盘上，而将不常用的数据放在SATA磁盘上，无需手工干预；SSD必须实现同时作为缓存层和数据容量层功能。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为确保最短IO路径和读写延迟并减少网络流量，在VMware和KVM环境中，分布式存储本身都支持优先将数据写在本地SSD磁盘上，并且当虚拟机迁移到任意节点，其数据也迁移到虚拟机所在物理节点</w:t>
            </w:r>
            <w:r>
              <w:rPr>
                <w:rFonts w:hint="eastAsia" w:ascii="宋体" w:hAnsi="宋体" w:cs="宋体"/>
                <w:szCs w:val="21"/>
              </w:rPr>
              <w:t>，实现数据本地化。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hint="eastAsia" w:ascii="宋体" w:hAnsi="宋体" w:cs="宋体"/>
                <w:szCs w:val="21"/>
              </w:rPr>
              <w:t>支持</w:t>
            </w:r>
            <w:r>
              <w:rPr>
                <w:rFonts w:ascii="宋体" w:hAnsi="宋体" w:cs="宋体"/>
                <w:szCs w:val="21"/>
              </w:rPr>
              <w:t>不同品牌</w:t>
            </w:r>
            <w:r>
              <w:rPr>
                <w:rFonts w:hint="eastAsia" w:ascii="宋体" w:hAnsi="宋体" w:cs="宋体"/>
                <w:szCs w:val="21"/>
              </w:rPr>
              <w:t>、不同型号、不同配置的服务器</w:t>
            </w:r>
            <w:r>
              <w:rPr>
                <w:rFonts w:ascii="宋体" w:hAnsi="宋体" w:cs="宋体"/>
                <w:szCs w:val="21"/>
              </w:rPr>
              <w:t>部署在同一个集群，保证不同时期采购的服务器硬件能够兼容在同一集群正常运行</w:t>
            </w:r>
            <w:r>
              <w:rPr>
                <w:rFonts w:hint="eastAsia" w:ascii="宋体" w:hAnsi="宋体" w:cs="宋体"/>
                <w:szCs w:val="21"/>
              </w:rPr>
              <w:t>。</w:t>
            </w:r>
            <w:r>
              <w:rPr>
                <w:rFonts w:ascii="宋体" w:hAnsi="宋体" w:cs="宋体"/>
                <w:szCs w:val="21"/>
              </w:rPr>
              <w:t>真正实现按需购买，保护用户投资</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ascii="宋体" w:hAnsi="宋体" w:cs="宋体"/>
                <w:szCs w:val="21"/>
              </w:rPr>
              <w:t>要求节点不使用RAID技术或分布式RAID技术保护数据，避免由于磁盘故障导致整个RAID组性能降级，从而影响业务正常运行</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hint="eastAsia" w:ascii="宋体" w:hAnsi="宋体" w:cs="宋体"/>
                <w:szCs w:val="21"/>
              </w:rPr>
              <w:t>架构内全局的N+1冗余性，在某硬件出问题时，能够进行自动切换；所有数据至少同时存储2份，分散在多个节点上，没有单点故障。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分布式</w:t>
            </w:r>
            <w:r>
              <w:rPr>
                <w:rFonts w:ascii="宋体" w:hAnsi="宋体" w:cs="宋体"/>
                <w:szCs w:val="21"/>
              </w:rPr>
              <w:t>存储</w:t>
            </w:r>
            <w:r>
              <w:rPr>
                <w:rFonts w:hint="eastAsia" w:ascii="宋体" w:hAnsi="宋体" w:cs="宋体"/>
                <w:szCs w:val="21"/>
              </w:rPr>
              <w:t>支持</w:t>
            </w:r>
            <w:r>
              <w:rPr>
                <w:rFonts w:ascii="宋体" w:hAnsi="宋体" w:cs="宋体"/>
                <w:szCs w:val="21"/>
              </w:rPr>
              <w:t>2副本和3副本的数据冗余配置，</w:t>
            </w:r>
            <w:r>
              <w:rPr>
                <w:rFonts w:hint="eastAsia" w:ascii="宋体" w:hAnsi="宋体" w:cs="宋体"/>
                <w:szCs w:val="21"/>
              </w:rPr>
              <w:t>支持灵活的副本策略，可对单个虚拟机卷为对像设置副本数量；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存储池中没有磁盘组的概念，</w:t>
            </w:r>
            <w:r>
              <w:rPr>
                <w:rFonts w:ascii="宋体" w:hAnsi="宋体" w:cs="宋体"/>
                <w:szCs w:val="21"/>
              </w:rPr>
              <w:t>当SSD</w:t>
            </w:r>
            <w:r>
              <w:rPr>
                <w:rFonts w:hint="eastAsia" w:ascii="宋体" w:hAnsi="宋体" w:cs="宋体"/>
                <w:szCs w:val="21"/>
              </w:rPr>
              <w:t>或H</w:t>
            </w:r>
            <w:r>
              <w:rPr>
                <w:rFonts w:ascii="宋体" w:hAnsi="宋体" w:cs="宋体"/>
                <w:szCs w:val="21"/>
              </w:rPr>
              <w:t>DD</w:t>
            </w:r>
            <w:r>
              <w:rPr>
                <w:rFonts w:hint="eastAsia" w:ascii="宋体" w:hAnsi="宋体" w:cs="宋体"/>
                <w:szCs w:val="21"/>
              </w:rPr>
              <w:t>故障</w:t>
            </w:r>
            <w:r>
              <w:rPr>
                <w:rFonts w:ascii="宋体" w:hAnsi="宋体" w:cs="宋体"/>
                <w:szCs w:val="21"/>
              </w:rPr>
              <w:t>情况下，</w:t>
            </w:r>
            <w:r>
              <w:rPr>
                <w:rFonts w:hint="eastAsia" w:ascii="宋体" w:hAnsi="宋体" w:cs="宋体"/>
                <w:szCs w:val="21"/>
              </w:rPr>
              <w:t>影响范围仅限于故障的S</w:t>
            </w:r>
            <w:r>
              <w:rPr>
                <w:rFonts w:ascii="宋体" w:hAnsi="宋体" w:cs="宋体"/>
                <w:szCs w:val="21"/>
              </w:rPr>
              <w:t>SD</w:t>
            </w:r>
            <w:r>
              <w:rPr>
                <w:rFonts w:hint="eastAsia" w:ascii="宋体" w:hAnsi="宋体" w:cs="宋体"/>
                <w:szCs w:val="21"/>
              </w:rPr>
              <w:t>或H</w:t>
            </w:r>
            <w:r>
              <w:rPr>
                <w:rFonts w:ascii="宋体" w:hAnsi="宋体" w:cs="宋体"/>
                <w:szCs w:val="21"/>
              </w:rPr>
              <w:t>DD</w:t>
            </w:r>
            <w:r>
              <w:rPr>
                <w:rFonts w:hint="eastAsia" w:ascii="宋体" w:hAnsi="宋体" w:cs="宋体"/>
                <w:szCs w:val="21"/>
              </w:rPr>
              <w:t>，不影响其它磁盘掉线，磁盘故障不影响存储的数据访问</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每节点提供1</w:t>
            </w:r>
            <w:r>
              <w:rPr>
                <w:rFonts w:ascii="宋体" w:hAnsi="宋体" w:cs="宋体"/>
                <w:szCs w:val="21"/>
              </w:rPr>
              <w:t>00MB/s ~ 500MB/s</w:t>
            </w:r>
            <w:r>
              <w:rPr>
                <w:rFonts w:hint="eastAsia" w:ascii="宋体" w:hAnsi="宋体" w:cs="宋体"/>
                <w:szCs w:val="21"/>
              </w:rPr>
              <w:t>的数据恢复与均衡速度，系统智能判断当前的业务压力大小，自动调整数据恢复或数据均衡速度。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ascii="宋体" w:hAnsi="宋体" w:cs="宋体"/>
                <w:szCs w:val="21"/>
              </w:rPr>
              <w:t>支持基于服务器机架拓扑智能分布副本，避免出现由于单一机架</w:t>
            </w:r>
            <w:r>
              <w:rPr>
                <w:rFonts w:hint="eastAsia" w:ascii="宋体" w:hAnsi="宋体" w:cs="宋体"/>
                <w:szCs w:val="21"/>
              </w:rPr>
              <w:t>或</w:t>
            </w:r>
            <w:r>
              <w:rPr>
                <w:rFonts w:ascii="宋体" w:hAnsi="宋体" w:cs="宋体"/>
                <w:szCs w:val="21"/>
              </w:rPr>
              <w:t>机箱的电源或网络故障造成的数据无法访问。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r>
              <w:rPr>
                <w:rFonts w:ascii="宋体" w:hAnsi="宋体" w:cs="宋体"/>
                <w:szCs w:val="21"/>
              </w:rPr>
              <w:t>支持</w:t>
            </w:r>
            <w:r>
              <w:rPr>
                <w:rFonts w:hint="eastAsia" w:ascii="宋体" w:hAnsi="宋体" w:cs="宋体"/>
                <w:szCs w:val="21"/>
              </w:rPr>
              <w:t>一键滚动升级功能，</w:t>
            </w:r>
            <w:r>
              <w:rPr>
                <w:rFonts w:ascii="宋体" w:hAnsi="宋体" w:cs="宋体"/>
                <w:szCs w:val="21"/>
              </w:rPr>
              <w:t xml:space="preserve"> 在不需要关闭业务系统的情况下，可以实现平台软件的在线升级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支持根据C</w:t>
            </w:r>
            <w:r>
              <w:rPr>
                <w:rFonts w:ascii="宋体" w:hAnsi="宋体" w:cs="宋体"/>
                <w:szCs w:val="21"/>
              </w:rPr>
              <w:t>PU</w:t>
            </w:r>
            <w:r>
              <w:rPr>
                <w:rFonts w:hint="eastAsia" w:ascii="宋体" w:hAnsi="宋体" w:cs="宋体"/>
                <w:szCs w:val="21"/>
              </w:rPr>
              <w:t>、内存和存储的历史使用</w:t>
            </w:r>
            <w:bookmarkStart w:id="1" w:name="_GoBack"/>
            <w:bookmarkEnd w:id="1"/>
            <w:r>
              <w:rPr>
                <w:rFonts w:hint="eastAsia" w:ascii="宋体" w:hAnsi="宋体" w:cs="宋体"/>
                <w:szCs w:val="21"/>
              </w:rPr>
              <w:t>情况，智能预测资源消耗走势，为扩容规划提供参考数据。提供产品功能截图并加盖原厂公章。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支持通过设置判断条件，将长期关机的虚拟机、I</w:t>
            </w:r>
            <w:r>
              <w:rPr>
                <w:rFonts w:ascii="宋体" w:hAnsi="宋体" w:cs="宋体"/>
                <w:szCs w:val="21"/>
              </w:rPr>
              <w:t>/O</w:t>
            </w:r>
            <w:r>
              <w:rPr>
                <w:rFonts w:hint="eastAsia" w:ascii="宋体" w:hAnsi="宋体" w:cs="宋体"/>
                <w:szCs w:val="21"/>
              </w:rPr>
              <w:t>过少的虚拟机、资源分配过多的虚拟机、资源紧张的虚拟机自动列出，便于管理员进行资源调整。提供产品功能截图并加盖原厂公章。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分布式</w:t>
            </w:r>
            <w:r>
              <w:rPr>
                <w:rFonts w:ascii="宋体" w:hAnsi="宋体" w:cs="宋体"/>
                <w:szCs w:val="21"/>
              </w:rPr>
              <w:t>存储</w:t>
            </w:r>
            <w:r>
              <w:rPr>
                <w:rFonts w:hint="eastAsia" w:ascii="宋体" w:hAnsi="宋体" w:cs="宋体"/>
                <w:szCs w:val="21"/>
              </w:rPr>
              <w:t>支持</w:t>
            </w:r>
            <w:r>
              <w:rPr>
                <w:rFonts w:ascii="宋体" w:hAnsi="宋体" w:cs="宋体"/>
                <w:szCs w:val="21"/>
              </w:rPr>
              <w:t>2副本和3副本的数据冗余配置，</w:t>
            </w:r>
            <w:r>
              <w:rPr>
                <w:rFonts w:hint="eastAsia" w:ascii="宋体" w:hAnsi="宋体" w:cs="宋体"/>
                <w:szCs w:val="21"/>
              </w:rPr>
              <w:t>支持灵活的副本策略，可对单个虚拟机卷为对像设置副本数量；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支持V</w:t>
            </w:r>
            <w:r>
              <w:rPr>
                <w:rFonts w:ascii="宋体" w:hAnsi="宋体" w:cs="宋体"/>
                <w:szCs w:val="21"/>
              </w:rPr>
              <w:t>Mware</w:t>
            </w:r>
            <w:r>
              <w:rPr>
                <w:rFonts w:hint="eastAsia" w:ascii="宋体" w:hAnsi="宋体" w:cs="宋体"/>
                <w:szCs w:val="21"/>
              </w:rPr>
              <w:t>、K</w:t>
            </w:r>
            <w:r>
              <w:rPr>
                <w:rFonts w:ascii="宋体" w:hAnsi="宋体" w:cs="宋体"/>
                <w:szCs w:val="21"/>
              </w:rPr>
              <w:t>VM</w:t>
            </w:r>
            <w:r>
              <w:rPr>
                <w:rFonts w:hint="eastAsia" w:ascii="宋体" w:hAnsi="宋体" w:cs="宋体"/>
                <w:szCs w:val="21"/>
              </w:rPr>
              <w:t>虚拟化环境的同城双活容灾功能，</w:t>
            </w:r>
            <w:r>
              <w:rPr>
                <w:rFonts w:ascii="宋体" w:hAnsi="宋体" w:cs="宋体"/>
                <w:szCs w:val="21"/>
              </w:rPr>
              <w:t>不需要额外的软硬件采购支持</w:t>
            </w:r>
            <w:r>
              <w:rPr>
                <w:rFonts w:hint="eastAsia" w:ascii="宋体" w:hAnsi="宋体" w:cs="宋体"/>
                <w:szCs w:val="21"/>
              </w:rPr>
              <w:t>，通过双活</w:t>
            </w:r>
            <w:r>
              <w:rPr>
                <w:rFonts w:ascii="宋体" w:hAnsi="宋体" w:cs="宋体"/>
                <w:szCs w:val="21"/>
              </w:rPr>
              <w:t>集群</w:t>
            </w:r>
            <w:r>
              <w:rPr>
                <w:rFonts w:hint="eastAsia" w:ascii="宋体" w:hAnsi="宋体" w:cs="宋体"/>
                <w:szCs w:val="21"/>
              </w:rPr>
              <w:t>实现双</w:t>
            </w:r>
            <w:r>
              <w:rPr>
                <w:rFonts w:ascii="宋体" w:hAnsi="宋体" w:cs="宋体"/>
                <w:szCs w:val="21"/>
              </w:rPr>
              <w:t>数据中心</w:t>
            </w:r>
            <w:r>
              <w:rPr>
                <w:rFonts w:hint="eastAsia" w:ascii="宋体" w:hAnsi="宋体" w:cs="宋体"/>
                <w:szCs w:val="21"/>
              </w:rPr>
              <w:t>之间实时同步数据IO，当</w:t>
            </w:r>
            <w:r>
              <w:rPr>
                <w:rFonts w:ascii="宋体" w:hAnsi="宋体" w:cs="宋体"/>
                <w:szCs w:val="21"/>
              </w:rPr>
              <w:t>发生灾难故障时，不会丢失</w:t>
            </w:r>
            <w:r>
              <w:rPr>
                <w:rFonts w:hint="eastAsia" w:ascii="宋体" w:hAnsi="宋体" w:cs="宋体"/>
                <w:szCs w:val="21"/>
              </w:rPr>
              <w:t>业务数据</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 w:type="dxa"/>
            <w:vMerge w:val="continue"/>
          </w:tcPr>
          <w:p>
            <w:pPr>
              <w:keepNext w:val="0"/>
              <w:keepLines w:val="0"/>
              <w:pageBreakBefore w:val="0"/>
              <w:kinsoku/>
              <w:wordWrap/>
              <w:overflowPunct/>
              <w:topLinePunct w:val="0"/>
              <w:autoSpaceDE/>
              <w:autoSpaceDN/>
              <w:bidi w:val="0"/>
              <w:adjustRightInd/>
              <w:snapToGrid w:val="0"/>
              <w:spacing w:beforeAutospacing="0" w:afterAutospacing="0"/>
              <w:textAlignment w:val="auto"/>
              <w:rPr>
                <w:rFonts w:ascii="宋体" w:hAnsi="宋体" w:cs="宋体"/>
                <w:szCs w:val="21"/>
              </w:rPr>
            </w:pP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全中文界面与文档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47"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bookmarkStart w:id="0" w:name="_Hlk42896561"/>
            <w:r>
              <w:rPr>
                <w:rFonts w:hint="eastAsia" w:ascii="宋体" w:hAnsi="宋体" w:cs="宋体"/>
                <w:szCs w:val="21"/>
              </w:rPr>
              <w:t>售后服务要求</w:t>
            </w:r>
          </w:p>
        </w:tc>
        <w:tc>
          <w:tcPr>
            <w:tcW w:w="7524" w:type="dxa"/>
          </w:tcPr>
          <w:p>
            <w:pPr>
              <w:keepNext w:val="0"/>
              <w:keepLines w:val="0"/>
              <w:pageBreakBefore w:val="0"/>
              <w:kinsoku/>
              <w:wordWrap/>
              <w:overflowPunct/>
              <w:topLinePunct w:val="0"/>
              <w:autoSpaceDE/>
              <w:autoSpaceDN/>
              <w:bidi w:val="0"/>
              <w:adjustRightInd/>
              <w:snapToGrid w:val="0"/>
              <w:spacing w:beforeAutospacing="0" w:afterAutospacing="0"/>
              <w:jc w:val="left"/>
              <w:textAlignment w:val="auto"/>
              <w:rPr>
                <w:rFonts w:ascii="宋体" w:hAnsi="宋体" w:cs="宋体"/>
                <w:szCs w:val="21"/>
              </w:rPr>
            </w:pPr>
            <w:r>
              <w:rPr>
                <w:rFonts w:hint="eastAsia" w:ascii="宋体" w:hAnsi="宋体" w:cs="宋体"/>
                <w:szCs w:val="21"/>
              </w:rPr>
              <w:t>提供原厂安装实施服务，超融合软件提供</w:t>
            </w:r>
            <w:r>
              <w:rPr>
                <w:rFonts w:ascii="宋体" w:hAnsi="宋体" w:cs="宋体"/>
                <w:szCs w:val="21"/>
              </w:rPr>
              <w:t>3</w:t>
            </w:r>
            <w:r>
              <w:rPr>
                <w:rFonts w:hint="eastAsia" w:ascii="宋体" w:hAnsi="宋体" w:cs="宋体"/>
                <w:szCs w:val="21"/>
              </w:rPr>
              <w:t>年7</w:t>
            </w:r>
            <w:r>
              <w:rPr>
                <w:rFonts w:ascii="宋体" w:hAnsi="宋体" w:cs="宋体"/>
                <w:szCs w:val="21"/>
              </w:rPr>
              <w:t>*24</w:t>
            </w:r>
            <w:r>
              <w:rPr>
                <w:rFonts w:hint="eastAsia" w:ascii="宋体" w:hAnsi="宋体" w:cs="宋体"/>
                <w:szCs w:val="21"/>
              </w:rPr>
              <w:t>售后服务，硬件提供</w:t>
            </w:r>
            <w:r>
              <w:rPr>
                <w:rFonts w:ascii="宋体" w:hAnsi="宋体" w:cs="宋体"/>
                <w:szCs w:val="21"/>
              </w:rPr>
              <w:t>3</w:t>
            </w:r>
            <w:r>
              <w:rPr>
                <w:rFonts w:hint="eastAsia" w:ascii="宋体" w:hAnsi="宋体" w:cs="宋体"/>
                <w:szCs w:val="21"/>
              </w:rPr>
              <w:t>年7*24</w:t>
            </w:r>
            <w:r>
              <w:rPr>
                <w:rFonts w:ascii="宋体" w:hAnsi="宋体" w:cs="宋体"/>
                <w:szCs w:val="21"/>
              </w:rPr>
              <w:t>*4</w:t>
            </w:r>
            <w:r>
              <w:rPr>
                <w:rFonts w:hint="eastAsia" w:ascii="宋体" w:hAnsi="宋体" w:cs="宋体"/>
                <w:szCs w:val="21"/>
              </w:rPr>
              <w:t>售后服务，提供原厂季度巡检服务。</w:t>
            </w:r>
            <w:r>
              <w:rPr>
                <w:rFonts w:ascii="宋体" w:hAnsi="宋体" w:cs="宋体"/>
                <w:szCs w:val="21"/>
              </w:rPr>
              <w:t>厂商可快速响应</w:t>
            </w:r>
            <w:r>
              <w:rPr>
                <w:rFonts w:hint="eastAsia" w:ascii="宋体" w:hAnsi="宋体" w:cs="宋体"/>
                <w:szCs w:val="21"/>
              </w:rPr>
              <w:t>和</w:t>
            </w:r>
            <w:r>
              <w:rPr>
                <w:rFonts w:ascii="宋体" w:hAnsi="宋体" w:cs="宋体"/>
                <w:szCs w:val="21"/>
              </w:rPr>
              <w:t>处理</w:t>
            </w:r>
            <w:r>
              <w:rPr>
                <w:rFonts w:hint="eastAsia" w:ascii="宋体" w:hAnsi="宋体" w:cs="宋体"/>
                <w:szCs w:val="21"/>
              </w:rPr>
              <w:t>各</w:t>
            </w:r>
            <w:r>
              <w:rPr>
                <w:rFonts w:ascii="宋体" w:hAnsi="宋体" w:cs="宋体"/>
                <w:szCs w:val="21"/>
              </w:rPr>
              <w:t>种故障和</w:t>
            </w:r>
            <w:r>
              <w:rPr>
                <w:rFonts w:hint="eastAsia" w:ascii="宋体" w:hAnsi="宋体" w:cs="宋体"/>
                <w:szCs w:val="21"/>
              </w:rPr>
              <w:t>技术</w:t>
            </w:r>
            <w:r>
              <w:rPr>
                <w:rFonts w:ascii="宋体" w:hAnsi="宋体" w:cs="宋体"/>
                <w:szCs w:val="21"/>
              </w:rPr>
              <w:t>咨询，</w:t>
            </w:r>
            <w:r>
              <w:rPr>
                <w:rFonts w:hint="eastAsia" w:ascii="宋体" w:hAnsi="宋体" w:cs="宋体"/>
                <w:szCs w:val="21"/>
              </w:rPr>
              <w:t>要求厂商</w:t>
            </w:r>
            <w:r>
              <w:rPr>
                <w:rFonts w:ascii="宋体" w:hAnsi="宋体" w:cs="宋体"/>
                <w:szCs w:val="21"/>
              </w:rPr>
              <w:t>在</w:t>
            </w:r>
            <w:r>
              <w:rPr>
                <w:rFonts w:hint="eastAsia" w:ascii="宋体" w:hAnsi="宋体" w:cs="宋体"/>
                <w:szCs w:val="21"/>
              </w:rPr>
              <w:t>国</w:t>
            </w:r>
            <w:r>
              <w:rPr>
                <w:rFonts w:ascii="宋体" w:hAnsi="宋体" w:cs="宋体"/>
                <w:szCs w:val="21"/>
              </w:rPr>
              <w:t>内</w:t>
            </w:r>
            <w:r>
              <w:rPr>
                <w:rFonts w:hint="eastAsia" w:ascii="宋体" w:hAnsi="宋体" w:cs="宋体"/>
                <w:szCs w:val="21"/>
              </w:rPr>
              <w:t>本地设立售后</w:t>
            </w:r>
            <w:r>
              <w:rPr>
                <w:rFonts w:ascii="宋体" w:hAnsi="宋体" w:cs="宋体"/>
                <w:szCs w:val="21"/>
              </w:rPr>
              <w:t>中心和</w:t>
            </w:r>
            <w:r>
              <w:rPr>
                <w:rFonts w:hint="eastAsia" w:ascii="宋体" w:hAnsi="宋体" w:cs="宋体"/>
                <w:szCs w:val="21"/>
              </w:rPr>
              <w:t>研发中心。提供地</w:t>
            </w:r>
            <w:r>
              <w:rPr>
                <w:rFonts w:ascii="宋体" w:hAnsi="宋体" w:cs="宋体"/>
                <w:szCs w:val="21"/>
              </w:rPr>
              <w:t>址</w:t>
            </w:r>
            <w:r>
              <w:rPr>
                <w:rFonts w:hint="eastAsia" w:ascii="宋体" w:hAnsi="宋体" w:cs="宋体"/>
                <w:szCs w:val="21"/>
              </w:rPr>
              <w:t>清单</w:t>
            </w:r>
            <w:r>
              <w:rPr>
                <w:rFonts w:ascii="宋体" w:hAnsi="宋体" w:cs="宋体"/>
                <w:szCs w:val="21"/>
              </w:rPr>
              <w:t>和</w:t>
            </w:r>
            <w:r>
              <w:rPr>
                <w:rFonts w:hint="eastAsia" w:ascii="宋体" w:hAnsi="宋体" w:cs="宋体"/>
                <w:szCs w:val="21"/>
              </w:rPr>
              <w:t>以上房屋</w:t>
            </w:r>
            <w:r>
              <w:rPr>
                <w:rFonts w:ascii="宋体" w:hAnsi="宋体" w:cs="宋体"/>
                <w:szCs w:val="21"/>
              </w:rPr>
              <w:t>租赁合同</w:t>
            </w:r>
            <w:r>
              <w:rPr>
                <w:rFonts w:hint="eastAsia" w:ascii="宋体" w:hAnsi="宋体" w:cs="宋体"/>
                <w:szCs w:val="21"/>
              </w:rPr>
              <w:t>，</w:t>
            </w:r>
            <w:r>
              <w:rPr>
                <w:rFonts w:ascii="宋体" w:hAnsi="宋体" w:cs="宋体"/>
                <w:szCs w:val="21"/>
              </w:rPr>
              <w:t>需加盖</w:t>
            </w:r>
            <w:r>
              <w:rPr>
                <w:rFonts w:hint="eastAsia" w:ascii="宋体" w:hAnsi="宋体" w:cs="宋体"/>
                <w:szCs w:val="21"/>
              </w:rPr>
              <w:t>厂商</w:t>
            </w:r>
            <w:r>
              <w:rPr>
                <w:rFonts w:ascii="宋体" w:hAnsi="宋体" w:cs="宋体"/>
                <w:szCs w:val="21"/>
              </w:rPr>
              <w:t>公章</w:t>
            </w:r>
            <w:r>
              <w:rPr>
                <w:rFonts w:hint="eastAsia" w:ascii="宋体" w:hAnsi="宋体" w:cs="宋体"/>
                <w:szCs w:val="21"/>
              </w:rPr>
              <w:t>。</w:t>
            </w:r>
          </w:p>
        </w:tc>
      </w:tr>
      <w:bookmarkEnd w:id="0"/>
    </w:tbl>
    <w:p>
      <w:pPr>
        <w:pStyle w:val="8"/>
        <w:widowControl/>
        <w:numPr>
          <w:ilvl w:val="0"/>
          <w:numId w:val="1"/>
        </w:numPr>
        <w:spacing w:before="100" w:beforeAutospacing="1" w:after="100" w:afterAutospacing="1"/>
        <w:ind w:firstLineChars="0"/>
        <w:jc w:val="left"/>
        <w:rPr>
          <w:rFonts w:ascii="宋体" w:hAnsi="宋体" w:eastAsia="宋体" w:cs="宋体"/>
          <w:b/>
          <w:kern w:val="0"/>
          <w:sz w:val="24"/>
        </w:rPr>
      </w:pPr>
      <w:r>
        <w:rPr>
          <w:rFonts w:hint="eastAsia" w:ascii="宋体" w:hAnsi="宋体" w:eastAsia="宋体" w:cs="宋体"/>
          <w:b/>
          <w:kern w:val="0"/>
          <w:sz w:val="24"/>
        </w:rPr>
        <w:t>万兆以太网交换机参数要求</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jc w:val="center"/>
        </w:trPr>
        <w:tc>
          <w:tcPr>
            <w:tcW w:w="766" w:type="pct"/>
            <w:shd w:val="clear" w:color="auto" w:fill="D8D8D8" w:themeFill="background1" w:themeFillShade="D9"/>
            <w:noWrap/>
            <w:vAlign w:val="center"/>
          </w:tcPr>
          <w:p>
            <w:pPr>
              <w:widowControl/>
              <w:spacing w:before="46" w:beforeLines="15" w:after="46" w:afterLines="15"/>
              <w:jc w:val="center"/>
              <w:textAlignment w:val="baseline"/>
              <w:rPr>
                <w:rFonts w:ascii="微软雅黑" w:hAnsi="微软雅黑" w:eastAsia="微软雅黑" w:cs="Arial"/>
                <w:b/>
                <w:sz w:val="18"/>
                <w:szCs w:val="18"/>
              </w:rPr>
            </w:pPr>
            <w:r>
              <w:rPr>
                <w:rFonts w:hint="eastAsia"/>
                <w:szCs w:val="21"/>
              </w:rPr>
              <w:t>指标项</w:t>
            </w:r>
          </w:p>
        </w:tc>
        <w:tc>
          <w:tcPr>
            <w:tcW w:w="4234" w:type="pct"/>
            <w:shd w:val="clear" w:color="auto" w:fill="D8D8D8" w:themeFill="background1" w:themeFillShade="D9"/>
            <w:noWrap/>
            <w:vAlign w:val="center"/>
          </w:tcPr>
          <w:p>
            <w:pPr>
              <w:widowControl/>
              <w:spacing w:before="46" w:beforeLines="15" w:after="46" w:afterLines="15"/>
              <w:jc w:val="center"/>
              <w:textAlignment w:val="baseline"/>
              <w:rPr>
                <w:rFonts w:ascii="微软雅黑" w:hAnsi="微软雅黑" w:eastAsia="微软雅黑" w:cs="Arial"/>
                <w:b/>
                <w:sz w:val="18"/>
                <w:szCs w:val="18"/>
              </w:rPr>
            </w:pPr>
            <w:r>
              <w:rPr>
                <w:rFonts w:hint="eastAsia"/>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66"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数量</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提供</w:t>
            </w:r>
            <w:r>
              <w:rPr>
                <w:rFonts w:ascii="微软雅黑" w:hAnsi="微软雅黑" w:eastAsia="微软雅黑" w:cs="Arial"/>
                <w:sz w:val="18"/>
                <w:szCs w:val="18"/>
              </w:rPr>
              <w:t>≥2</w:t>
            </w:r>
            <w:r>
              <w:rPr>
                <w:rFonts w:hint="eastAsia" w:ascii="微软雅黑" w:hAnsi="微软雅黑" w:eastAsia="微软雅黑" w:cs="Arial"/>
                <w:sz w:val="18"/>
                <w:szCs w:val="18"/>
              </w:rPr>
              <w:t>台万兆交换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66"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交换容量</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交换容量≥2Tbps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包转发率</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包转发率</w:t>
            </w:r>
            <w:r>
              <w:rPr>
                <w:rFonts w:ascii="微软雅黑" w:hAnsi="微软雅黑" w:eastAsia="微软雅黑" w:cs="Arial"/>
                <w:sz w:val="18"/>
                <w:szCs w:val="18"/>
              </w:rPr>
              <w:t>≥700Mpps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6" w:type="pct"/>
            <w:vMerge w:val="restart"/>
            <w:noWrap/>
            <w:vAlign w:val="center"/>
          </w:tcPr>
          <w:p>
            <w:pPr>
              <w:widowControl/>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端口</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支持24个万兆SFP+，</w:t>
            </w:r>
            <w:r>
              <w:rPr>
                <w:rFonts w:ascii="微软雅黑" w:hAnsi="微软雅黑" w:eastAsia="微软雅黑" w:cs="Arial"/>
                <w:sz w:val="18"/>
                <w:szCs w:val="18"/>
              </w:rPr>
              <w:t>6</w:t>
            </w:r>
            <w:r>
              <w:rPr>
                <w:rFonts w:hint="eastAsia" w:ascii="微软雅黑" w:hAnsi="微软雅黑" w:eastAsia="微软雅黑" w:cs="Arial"/>
                <w:sz w:val="18"/>
                <w:szCs w:val="18"/>
              </w:rPr>
              <w:t>个</w:t>
            </w:r>
            <w:r>
              <w:rPr>
                <w:rFonts w:ascii="微软雅黑" w:hAnsi="微软雅黑" w:eastAsia="微软雅黑" w:cs="Arial"/>
                <w:sz w:val="18"/>
                <w:szCs w:val="18"/>
              </w:rPr>
              <w:t>4</w:t>
            </w:r>
            <w:r>
              <w:rPr>
                <w:rFonts w:hint="eastAsia" w:ascii="微软雅黑" w:hAnsi="微软雅黑" w:eastAsia="微软雅黑" w:cs="Arial"/>
                <w:sz w:val="18"/>
                <w:szCs w:val="18"/>
              </w:rPr>
              <w:t>0GE QSFP</w:t>
            </w:r>
            <w:r>
              <w:rPr>
                <w:rFonts w:ascii="微软雅黑" w:hAnsi="微软雅黑"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6" w:type="pct"/>
            <w:vMerge w:val="continue"/>
            <w:noWrap/>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noWrap/>
            <w:vAlign w:val="center"/>
          </w:tcPr>
          <w:p>
            <w:pPr>
              <w:widowControl/>
              <w:spacing w:before="46" w:beforeLines="15" w:after="46" w:afterLines="15"/>
              <w:textAlignment w:val="baseline"/>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每台交换机配置：≥2个40 光接口（含光模块），要求支持做堆叠成员端口，并配置堆叠线缆。≥5个万兆 </w:t>
            </w:r>
            <w:r>
              <w:rPr>
                <w:rFonts w:ascii="微软雅黑" w:hAnsi="微软雅黑" w:eastAsia="微软雅黑" w:cs="宋体"/>
                <w:kern w:val="0"/>
                <w:sz w:val="18"/>
                <w:szCs w:val="18"/>
              </w:rPr>
              <w:t>SFP</w:t>
            </w:r>
            <w:r>
              <w:rPr>
                <w:rFonts w:hint="eastAsia" w:ascii="微软雅黑" w:hAnsi="微软雅黑" w:eastAsia="微软雅黑" w:cs="宋体"/>
                <w:kern w:val="0"/>
                <w:sz w:val="18"/>
                <w:szCs w:val="18"/>
              </w:rPr>
              <w:t>+多模光模块，5条L</w:t>
            </w:r>
            <w:r>
              <w:rPr>
                <w:rFonts w:ascii="微软雅黑" w:hAnsi="微软雅黑" w:eastAsia="微软雅黑" w:cs="宋体"/>
                <w:kern w:val="0"/>
                <w:sz w:val="18"/>
                <w:szCs w:val="18"/>
              </w:rPr>
              <w:t>C-LC</w:t>
            </w:r>
            <w:r>
              <w:rPr>
                <w:rFonts w:hint="eastAsia" w:ascii="微软雅黑" w:hAnsi="微软雅黑" w:eastAsia="微软雅黑" w:cs="宋体"/>
                <w:kern w:val="0"/>
                <w:sz w:val="18"/>
                <w:szCs w:val="18"/>
              </w:rPr>
              <w:t>多模光纤线缆。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6" w:type="pct"/>
            <w:vMerge w:val="restar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硬件</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为了</w:t>
            </w:r>
            <w:r>
              <w:rPr>
                <w:rFonts w:ascii="微软雅黑" w:hAnsi="微软雅黑" w:eastAsia="微软雅黑" w:cs="Arial"/>
                <w:sz w:val="18"/>
                <w:szCs w:val="18"/>
              </w:rPr>
              <w:t>提高设备可靠性，支持可插拔的双</w:t>
            </w:r>
            <w:r>
              <w:rPr>
                <w:rFonts w:hint="eastAsia" w:ascii="微软雅黑" w:hAnsi="微软雅黑" w:eastAsia="微软雅黑" w:cs="Arial"/>
                <w:sz w:val="18"/>
                <w:szCs w:val="18"/>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6" w:type="pct"/>
            <w:vMerge w:val="continue"/>
            <w:noWrap/>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noWrap/>
            <w:vAlign w:val="center"/>
          </w:tcPr>
          <w:p>
            <w:pPr>
              <w:widowControl/>
              <w:spacing w:before="46" w:beforeLines="15" w:after="46" w:afterLines="15"/>
              <w:textAlignment w:val="baseline"/>
              <w:rPr>
                <w:rFonts w:ascii="微软雅黑" w:hAnsi="微软雅黑" w:eastAsia="微软雅黑" w:cs="宋体"/>
                <w:sz w:val="18"/>
                <w:szCs w:val="18"/>
              </w:rPr>
            </w:pPr>
            <w:r>
              <w:rPr>
                <w:rFonts w:hint="eastAsia" w:ascii="微软雅黑" w:hAnsi="微软雅黑" w:eastAsia="微软雅黑" w:cs="宋体"/>
                <w:sz w:val="18"/>
                <w:szCs w:val="18"/>
              </w:rPr>
              <w:t>为了提高设备散热性能，支持可插拔风扇框，风扇框个数≥4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6" w:type="pct"/>
            <w:vMerge w:val="restart"/>
            <w:noWrap/>
            <w:vAlign w:val="center"/>
          </w:tcPr>
          <w:p>
            <w:pPr>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二层</w:t>
            </w:r>
          </w:p>
        </w:tc>
        <w:tc>
          <w:tcPr>
            <w:tcW w:w="4234" w:type="pct"/>
            <w:vAlign w:val="center"/>
          </w:tcPr>
          <w:p>
            <w:pPr>
              <w:widowControl/>
              <w:spacing w:before="46" w:beforeLines="15" w:after="46" w:afterLines="15"/>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w:t>
            </w:r>
            <w:r>
              <w:rPr>
                <w:rFonts w:ascii="微软雅黑" w:hAnsi="微软雅黑" w:eastAsia="微软雅黑" w:cs="宋体"/>
                <w:sz w:val="18"/>
                <w:szCs w:val="18"/>
              </w:rPr>
              <w:t>MAC</w:t>
            </w:r>
            <w:r>
              <w:rPr>
                <w:rFonts w:hint="eastAsia" w:ascii="微软雅黑" w:hAnsi="微软雅黑" w:eastAsia="微软雅黑" w:cs="宋体"/>
                <w:sz w:val="18"/>
                <w:szCs w:val="18"/>
              </w:rPr>
              <w:t>表项≥</w:t>
            </w:r>
            <w:r>
              <w:rPr>
                <w:rFonts w:ascii="微软雅黑" w:hAnsi="微软雅黑" w:eastAsia="微软雅黑" w:cs="宋体"/>
                <w:sz w:val="18"/>
                <w:szCs w:val="18"/>
              </w:rPr>
              <w:t>64K</w:t>
            </w:r>
            <w:r>
              <w:rPr>
                <w:rFonts w:hint="eastAsia" w:ascii="微软雅黑" w:hAnsi="微软雅黑" w:eastAsia="微软雅黑" w:cs="宋体"/>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766" w:type="pct"/>
            <w:vMerge w:val="continue"/>
            <w:noWrap/>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vAlign w:val="center"/>
          </w:tcPr>
          <w:p>
            <w:pPr>
              <w:widowControl/>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支持4K个VLAN</w:t>
            </w:r>
            <w:r>
              <w:rPr>
                <w:rFonts w:hint="eastAsia" w:ascii="微软雅黑" w:hAnsi="微软雅黑" w:eastAsia="微软雅黑" w:cs="Arial"/>
                <w:sz w:val="18"/>
                <w:szCs w:val="18"/>
              </w:rPr>
              <w:t>，支持Guest VLAN、Voice VLAN，支持基于MAC/协议/IP子网/策略/端口的VLAN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766" w:type="pct"/>
            <w:vMerge w:val="continue"/>
            <w:noWrap/>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支持1:1和N:1 VLAN交换功能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66" w:type="pct"/>
            <w:vMerge w:val="restar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三层</w:t>
            </w:r>
          </w:p>
        </w:tc>
        <w:tc>
          <w:tcPr>
            <w:tcW w:w="4234" w:type="pct"/>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支持静态路由、RIP V1/2、OSPF、IS-IS、BGP、</w:t>
            </w:r>
            <w:r>
              <w:rPr>
                <w:rFonts w:ascii="微软雅黑" w:hAnsi="微软雅黑" w:eastAsia="微软雅黑" w:cs="Arial"/>
                <w:sz w:val="18"/>
                <w:szCs w:val="18"/>
              </w:rPr>
              <w:t>RIPng</w:t>
            </w:r>
            <w:r>
              <w:rPr>
                <w:rFonts w:hint="eastAsia" w:ascii="微软雅黑" w:hAnsi="微软雅黑" w:eastAsia="微软雅黑" w:cs="Arial"/>
                <w:sz w:val="18"/>
                <w:szCs w:val="18"/>
              </w:rPr>
              <w:t>、OSPFv3、BGP4+、ISISv6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766" w:type="pct"/>
            <w:vMerge w:val="continue"/>
            <w:noWrap/>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宋体"/>
                <w:sz w:val="18"/>
                <w:szCs w:val="18"/>
              </w:rPr>
              <w:t>支持IP</w:t>
            </w:r>
            <w:r>
              <w:rPr>
                <w:rFonts w:ascii="微软雅黑" w:hAnsi="微软雅黑" w:eastAsia="微软雅黑" w:cs="宋体"/>
                <w:sz w:val="18"/>
                <w:szCs w:val="18"/>
              </w:rPr>
              <w:t>v4</w:t>
            </w:r>
            <w:r>
              <w:rPr>
                <w:rFonts w:hint="eastAsia" w:ascii="微软雅黑" w:hAnsi="微软雅黑" w:eastAsia="微软雅黑" w:cs="宋体"/>
                <w:sz w:val="18"/>
                <w:szCs w:val="18"/>
              </w:rPr>
              <w:t>路由</w:t>
            </w:r>
            <w:r>
              <w:rPr>
                <w:rFonts w:ascii="微软雅黑" w:hAnsi="微软雅黑" w:eastAsia="微软雅黑" w:cs="宋体"/>
                <w:sz w:val="18"/>
                <w:szCs w:val="18"/>
              </w:rPr>
              <w:t>表项</w:t>
            </w:r>
            <w:r>
              <w:rPr>
                <w:rFonts w:hint="eastAsia" w:ascii="微软雅黑" w:hAnsi="微软雅黑" w:eastAsia="微软雅黑" w:cs="宋体"/>
                <w:sz w:val="18"/>
                <w:szCs w:val="18"/>
              </w:rPr>
              <w:t>≥</w:t>
            </w:r>
            <w:r>
              <w:rPr>
                <w:rFonts w:ascii="微软雅黑" w:hAnsi="微软雅黑" w:eastAsia="微软雅黑" w:cs="宋体"/>
                <w:sz w:val="18"/>
                <w:szCs w:val="18"/>
              </w:rPr>
              <w:t>64K</w:t>
            </w:r>
            <w:r>
              <w:rPr>
                <w:rFonts w:hint="eastAsia" w:ascii="微软雅黑" w:hAnsi="微软雅黑" w:eastAsia="微软雅黑" w:cs="宋体"/>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766"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用户</w:t>
            </w:r>
            <w:r>
              <w:rPr>
                <w:rFonts w:ascii="微软雅黑" w:hAnsi="微软雅黑" w:eastAsia="微软雅黑" w:cs="Arial"/>
                <w:sz w:val="18"/>
                <w:szCs w:val="18"/>
              </w:rPr>
              <w:t>管理</w:t>
            </w:r>
          </w:p>
        </w:tc>
        <w:tc>
          <w:tcPr>
            <w:tcW w:w="4234" w:type="pct"/>
            <w:vAlign w:val="center"/>
          </w:tcPr>
          <w:p>
            <w:pPr>
              <w:widowControl/>
              <w:spacing w:before="46" w:beforeLines="15" w:after="46" w:afterLines="15"/>
              <w:textAlignment w:val="baseline"/>
              <w:rPr>
                <w:rFonts w:ascii="微软雅黑" w:hAnsi="微软雅黑" w:eastAsia="微软雅黑" w:cs="宋体"/>
                <w:sz w:val="18"/>
                <w:szCs w:val="18"/>
              </w:rPr>
            </w:pPr>
            <w:r>
              <w:rPr>
                <w:rFonts w:ascii="微软雅黑" w:hAnsi="微软雅黑" w:eastAsia="微软雅黑" w:cs="Arial"/>
                <w:sz w:val="18"/>
                <w:szCs w:val="18"/>
              </w:rPr>
              <w:t>支持统一用户管理功能</w:t>
            </w:r>
            <w:r>
              <w:rPr>
                <w:rFonts w:hint="eastAsia" w:ascii="微软雅黑" w:hAnsi="微软雅黑" w:eastAsia="微软雅黑" w:cs="Arial"/>
                <w:sz w:val="18"/>
                <w:szCs w:val="18"/>
              </w:rPr>
              <w:t>，</w:t>
            </w:r>
            <w:r>
              <w:rPr>
                <w:rFonts w:ascii="微软雅黑" w:hAnsi="微软雅黑" w:eastAsia="微软雅黑" w:cs="Arial"/>
                <w:sz w:val="18"/>
                <w:szCs w:val="18"/>
              </w:rPr>
              <w:t>支持802.1X/MAC/Portal等多种认证方式，支持对用户进行分组/分域/分时的管理，用户、业务可视可控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766"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V</w:t>
            </w:r>
            <w:r>
              <w:rPr>
                <w:rFonts w:ascii="微软雅黑" w:hAnsi="微软雅黑" w:eastAsia="微软雅黑" w:cs="Arial"/>
                <w:sz w:val="18"/>
                <w:szCs w:val="18"/>
              </w:rPr>
              <w:t>xLAN</w:t>
            </w:r>
          </w:p>
        </w:tc>
        <w:tc>
          <w:tcPr>
            <w:tcW w:w="4234" w:type="pct"/>
            <w:vAlign w:val="center"/>
          </w:tcPr>
          <w:p>
            <w:pPr>
              <w:widowControl/>
              <w:spacing w:before="46" w:beforeLines="15" w:after="46" w:afterLines="15"/>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支持VxLAN功能，支持BGP EVPN，支持分布式 Anycast 网关，支持VxLA</w:t>
            </w:r>
            <w:r>
              <w:rPr>
                <w:rFonts w:ascii="微软雅黑" w:hAnsi="微软雅黑" w:eastAsia="微软雅黑" w:cs="宋体"/>
                <w:sz w:val="18"/>
                <w:szCs w:val="18"/>
              </w:rPr>
              <w:t>N的</w:t>
            </w:r>
            <w:r>
              <w:rPr>
                <w:rFonts w:hint="eastAsia" w:ascii="微软雅黑" w:hAnsi="微软雅黑" w:eastAsia="微软雅黑" w:cs="宋体"/>
                <w:sz w:val="18"/>
                <w:szCs w:val="18"/>
              </w:rPr>
              <w:t>自动化部署，</w:t>
            </w:r>
            <w:r>
              <w:rPr>
                <w:rFonts w:ascii="微软雅黑" w:hAnsi="微软雅黑" w:eastAsia="微软雅黑" w:cs="宋体"/>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766" w:type="pct"/>
            <w:vAlign w:val="center"/>
          </w:tcPr>
          <w:p>
            <w:pPr>
              <w:spacing w:line="300" w:lineRule="auto"/>
              <w:textAlignment w:val="baseline"/>
              <w:rPr>
                <w:rFonts w:ascii="微软雅黑" w:hAnsi="微软雅黑" w:eastAsia="微软雅黑" w:cs="宋体"/>
                <w:sz w:val="18"/>
                <w:szCs w:val="18"/>
              </w:rPr>
            </w:pPr>
            <w:r>
              <w:rPr>
                <w:rFonts w:ascii="微软雅黑" w:hAnsi="微软雅黑" w:eastAsia="微软雅黑" w:cs="宋体"/>
                <w:sz w:val="18"/>
                <w:szCs w:val="18"/>
              </w:rPr>
              <w:t>虚拟化</w:t>
            </w:r>
          </w:p>
        </w:tc>
        <w:tc>
          <w:tcPr>
            <w:tcW w:w="4234" w:type="pct"/>
            <w:noWrap/>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支持横向堆叠，主机堆叠数不小于9台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766" w:type="pct"/>
            <w:vMerge w:val="restart"/>
            <w:vAlign w:val="center"/>
          </w:tcPr>
          <w:p>
            <w:pPr>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网络安全</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交换机支持报告攻击事件给网络安全智能系统，与网络安全智能系统和</w:t>
            </w:r>
            <w:r>
              <w:rPr>
                <w:rFonts w:ascii="微软雅黑" w:hAnsi="微软雅黑" w:eastAsia="微软雅黑" w:cs="Arial"/>
                <w:sz w:val="18"/>
                <w:szCs w:val="18"/>
              </w:rPr>
              <w:t>SDN控制器</w:t>
            </w:r>
            <w:r>
              <w:rPr>
                <w:rFonts w:hint="eastAsia" w:ascii="微软雅黑" w:hAnsi="微软雅黑" w:eastAsia="微软雅黑" w:cs="Arial"/>
                <w:sz w:val="18"/>
                <w:szCs w:val="18"/>
              </w:rPr>
              <w:t>联动，以实现全网安全协防，</w:t>
            </w:r>
            <w:r>
              <w:rPr>
                <w:rFonts w:ascii="微软雅黑" w:hAnsi="微软雅黑" w:eastAsia="微软雅黑" w:cs="宋体"/>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766" w:type="pct"/>
            <w:vMerge w:val="continue"/>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noWrap/>
            <w:vAlign w:val="center"/>
          </w:tcPr>
          <w:p>
            <w:pPr>
              <w:widowControl/>
              <w:spacing w:before="46" w:beforeLines="15" w:after="46" w:afterLines="15"/>
              <w:textAlignment w:val="baseline"/>
              <w:rPr>
                <w:rFonts w:ascii="微软雅黑" w:hAnsi="微软雅黑" w:eastAsia="微软雅黑" w:cs="宋体"/>
                <w:sz w:val="18"/>
                <w:szCs w:val="18"/>
              </w:rPr>
            </w:pPr>
            <w:r>
              <w:rPr>
                <w:rFonts w:hint="eastAsia" w:ascii="微软雅黑" w:hAnsi="微软雅黑" w:eastAsia="微软雅黑" w:cs="宋体"/>
                <w:sz w:val="18"/>
                <w:szCs w:val="18"/>
              </w:rPr>
              <w:t>交换机支持将IP和端口扫描流量重定向给网络安全智能系统进行诱捕，与网络安全智能系统和S</w:t>
            </w:r>
            <w:r>
              <w:rPr>
                <w:rFonts w:ascii="微软雅黑" w:hAnsi="微软雅黑" w:eastAsia="微软雅黑" w:cs="宋体"/>
                <w:sz w:val="18"/>
                <w:szCs w:val="18"/>
              </w:rPr>
              <w:t>DN控制器</w:t>
            </w:r>
            <w:r>
              <w:rPr>
                <w:rFonts w:hint="eastAsia" w:ascii="微软雅黑" w:hAnsi="微软雅黑" w:eastAsia="微软雅黑" w:cs="宋体"/>
                <w:sz w:val="18"/>
                <w:szCs w:val="18"/>
              </w:rPr>
              <w:t>联动实施反制措施，以实现网络安全协防，</w:t>
            </w:r>
            <w:r>
              <w:rPr>
                <w:rFonts w:ascii="微软雅黑" w:hAnsi="微软雅黑" w:eastAsia="微软雅黑" w:cs="宋体"/>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66" w:type="pct"/>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QOS</w:t>
            </w:r>
          </w:p>
        </w:tc>
        <w:tc>
          <w:tcPr>
            <w:tcW w:w="4234" w:type="pct"/>
            <w:noWrap/>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支持DRR、SP、DRR+SP队列调度算法</w:t>
            </w:r>
          </w:p>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支持报文的802.1p和DSCP优先级重新标记</w:t>
            </w:r>
          </w:p>
          <w:p>
            <w:pPr>
              <w:widowControl/>
              <w:spacing w:line="300" w:lineRule="auto"/>
              <w:textAlignment w:val="baseline"/>
              <w:rPr>
                <w:rFonts w:ascii="微软雅黑" w:hAnsi="微软雅黑" w:eastAsia="微软雅黑" w:cs="Arial"/>
                <w:b/>
                <w:sz w:val="18"/>
                <w:szCs w:val="18"/>
              </w:rPr>
            </w:pPr>
            <w:r>
              <w:rPr>
                <w:rFonts w:hint="eastAsia" w:ascii="微软雅黑" w:hAnsi="微软雅黑" w:eastAsia="微软雅黑" w:cs="宋体"/>
                <w:sz w:val="18"/>
                <w:szCs w:val="18"/>
              </w:rPr>
              <w:t>支持L2（Layer 2）~L4（Layer 4）包过滤功能，提供基于源MAC地址、目的MAC地址、源IP地址、目的IP地址、端口、协议、VLAN的包过滤功能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66" w:type="pct"/>
            <w:vMerge w:val="restart"/>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管理</w:t>
            </w:r>
            <w:r>
              <w:rPr>
                <w:rFonts w:ascii="微软雅黑" w:hAnsi="微软雅黑" w:eastAsia="微软雅黑" w:cs="宋体"/>
                <w:sz w:val="18"/>
                <w:szCs w:val="18"/>
              </w:rPr>
              <w:t>维护</w:t>
            </w:r>
          </w:p>
        </w:tc>
        <w:tc>
          <w:tcPr>
            <w:tcW w:w="4234" w:type="pct"/>
            <w:noWrap/>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支持以太网OAM（802.3ah 和 802.1ag）</w:t>
            </w:r>
          </w:p>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支持虚拟电缆检测(Virtual Cable Test)</w:t>
            </w:r>
          </w:p>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支持SNMPv1/v2c/v3，支持RMON</w:t>
            </w:r>
          </w:p>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支持网管系统、支持WEB网管特性</w:t>
            </w:r>
          </w:p>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支持NetStream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66" w:type="pct"/>
            <w:vMerge w:val="continue"/>
            <w:vAlign w:val="center"/>
          </w:tcPr>
          <w:p>
            <w:pPr>
              <w:widowControl/>
              <w:spacing w:line="300" w:lineRule="auto"/>
              <w:textAlignment w:val="baseline"/>
              <w:rPr>
                <w:rFonts w:ascii="微软雅黑" w:hAnsi="微软雅黑" w:eastAsia="微软雅黑" w:cs="宋体"/>
                <w:sz w:val="18"/>
                <w:szCs w:val="18"/>
              </w:rPr>
            </w:pPr>
          </w:p>
        </w:tc>
        <w:tc>
          <w:tcPr>
            <w:tcW w:w="4234" w:type="pct"/>
            <w:noWrap/>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可实现基于Python语言的开放</w:t>
            </w:r>
            <w:r>
              <w:rPr>
                <w:rFonts w:ascii="微软雅黑" w:hAnsi="微软雅黑" w:eastAsia="微软雅黑" w:cs="宋体"/>
                <w:sz w:val="18"/>
                <w:szCs w:val="18"/>
              </w:rPr>
              <w:t>可编程</w:t>
            </w:r>
            <w:r>
              <w:rPr>
                <w:rFonts w:hint="eastAsia" w:ascii="微软雅黑" w:hAnsi="微软雅黑" w:eastAsia="微软雅黑" w:cs="宋体"/>
                <w:sz w:val="18"/>
                <w:szCs w:val="18"/>
              </w:rPr>
              <w:t>特性，提供开放的编辑语言和更简单的操作方法，实现智能化运维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766" w:type="pct"/>
            <w:vMerge w:val="restart"/>
            <w:vAlign w:val="center"/>
          </w:tcPr>
          <w:p>
            <w:pPr>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安全</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ascii="微软雅黑" w:hAnsi="微软雅黑" w:eastAsia="微软雅黑" w:cs="Arial"/>
                <w:sz w:val="18"/>
                <w:szCs w:val="18"/>
              </w:rPr>
              <w:t>支持DHCPv6 Snooping</w:t>
            </w:r>
            <w:r>
              <w:rPr>
                <w:rFonts w:hint="eastAsia" w:ascii="微软雅黑" w:hAnsi="微软雅黑" w:eastAsia="微软雅黑" w:cs="Arial"/>
                <w:sz w:val="18"/>
                <w:szCs w:val="18"/>
              </w:rPr>
              <w:t>，</w:t>
            </w:r>
            <w:r>
              <w:rPr>
                <w:rFonts w:ascii="微软雅黑" w:hAnsi="微软雅黑" w:eastAsia="微软雅黑" w:cs="Arial"/>
                <w:sz w:val="18"/>
                <w:szCs w:val="18"/>
              </w:rPr>
              <w:t>IP Source Guard</w:t>
            </w:r>
            <w:r>
              <w:rPr>
                <w:rFonts w:hint="eastAsia" w:ascii="微软雅黑" w:hAnsi="微软雅黑" w:eastAsia="微软雅黑" w:cs="Arial"/>
                <w:sz w:val="18"/>
                <w:szCs w:val="18"/>
              </w:rPr>
              <w:t>，SAVI等</w:t>
            </w:r>
            <w:r>
              <w:rPr>
                <w:rFonts w:ascii="微软雅黑" w:hAnsi="微软雅黑" w:eastAsia="微软雅黑" w:cs="Arial"/>
                <w:sz w:val="18"/>
                <w:szCs w:val="18"/>
              </w:rPr>
              <w:t>安全</w:t>
            </w:r>
            <w:r>
              <w:rPr>
                <w:rFonts w:hint="eastAsia" w:ascii="微软雅黑" w:hAnsi="微软雅黑" w:eastAsia="微软雅黑" w:cs="Arial"/>
                <w:sz w:val="18"/>
                <w:szCs w:val="18"/>
              </w:rPr>
              <w:t>特性，</w:t>
            </w:r>
            <w:r>
              <w:rPr>
                <w:rFonts w:ascii="微软雅黑" w:hAnsi="微软雅黑" w:eastAsia="微软雅黑" w:cs="Arial"/>
                <w:sz w:val="18"/>
                <w:szCs w:val="18"/>
              </w:rPr>
              <w:t>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66" w:type="pct"/>
            <w:vMerge w:val="continue"/>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w:t>
            </w:r>
            <w:r>
              <w:rPr>
                <w:rFonts w:ascii="微软雅黑" w:hAnsi="微软雅黑" w:eastAsia="微软雅黑" w:cs="Arial"/>
                <w:sz w:val="18"/>
                <w:szCs w:val="18"/>
              </w:rPr>
              <w:t>防ARP攻击、DOS攻击、</w:t>
            </w:r>
            <w:r>
              <w:rPr>
                <w:rFonts w:hint="eastAsia" w:ascii="微软雅黑" w:hAnsi="微软雅黑" w:eastAsia="微软雅黑" w:cs="Arial"/>
                <w:sz w:val="18"/>
                <w:szCs w:val="18"/>
              </w:rPr>
              <w:t>ICMP防</w:t>
            </w:r>
            <w:r>
              <w:rPr>
                <w:rFonts w:ascii="微软雅黑" w:hAnsi="微软雅黑" w:eastAsia="微软雅黑" w:cs="Arial"/>
                <w:sz w:val="18"/>
                <w:szCs w:val="18"/>
              </w:rPr>
              <w:t>攻击</w:t>
            </w:r>
            <w:r>
              <w:rPr>
                <w:rFonts w:hint="eastAsia" w:ascii="微软雅黑" w:hAnsi="微软雅黑" w:eastAsia="微软雅黑" w:cs="Arial"/>
                <w:sz w:val="18"/>
                <w:szCs w:val="18"/>
              </w:rPr>
              <w:t>、CPU防</w:t>
            </w:r>
            <w:r>
              <w:rPr>
                <w:rFonts w:ascii="微软雅黑" w:hAnsi="微软雅黑" w:eastAsia="微软雅黑" w:cs="Arial"/>
                <w:sz w:val="18"/>
                <w:szCs w:val="18"/>
              </w:rPr>
              <w:t>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766" w:type="pct"/>
            <w:vMerge w:val="restart"/>
            <w:vAlign w:val="center"/>
          </w:tcPr>
          <w:p>
            <w:pPr>
              <w:widowControl/>
              <w:spacing w:line="300" w:lineRule="auto"/>
              <w:textAlignment w:val="baseline"/>
              <w:rPr>
                <w:rFonts w:ascii="微软雅黑" w:hAnsi="微软雅黑" w:eastAsia="微软雅黑" w:cs="宋体"/>
                <w:sz w:val="18"/>
                <w:szCs w:val="18"/>
              </w:rPr>
            </w:pPr>
            <w:r>
              <w:rPr>
                <w:rFonts w:hint="eastAsia" w:ascii="微软雅黑" w:hAnsi="微软雅黑" w:eastAsia="微软雅黑" w:cs="宋体"/>
                <w:sz w:val="18"/>
                <w:szCs w:val="18"/>
              </w:rPr>
              <w:t>可靠性</w:t>
            </w: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支持G.8032标准</w:t>
            </w:r>
            <w:r>
              <w:rPr>
                <w:rFonts w:ascii="微软雅黑" w:hAnsi="微软雅黑" w:eastAsia="微软雅黑" w:cs="Arial"/>
                <w:sz w:val="18"/>
                <w:szCs w:val="18"/>
              </w:rPr>
              <w:t>环网协议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766" w:type="pct"/>
            <w:vMerge w:val="continue"/>
            <w:vAlign w:val="center"/>
          </w:tcPr>
          <w:p>
            <w:pPr>
              <w:widowControl/>
              <w:spacing w:line="300" w:lineRule="auto"/>
              <w:textAlignment w:val="baseline"/>
              <w:rPr>
                <w:rFonts w:ascii="微软雅黑" w:hAnsi="微软雅黑" w:eastAsia="微软雅黑" w:cs="宋体"/>
                <w:sz w:val="18"/>
                <w:szCs w:val="18"/>
              </w:rPr>
            </w:pPr>
          </w:p>
        </w:tc>
        <w:tc>
          <w:tcPr>
            <w:tcW w:w="4234" w:type="pct"/>
            <w:noWrap/>
            <w:vAlign w:val="center"/>
          </w:tcPr>
          <w:p>
            <w:pPr>
              <w:widowControl/>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支持</w:t>
            </w:r>
            <w:r>
              <w:rPr>
                <w:rFonts w:ascii="微软雅黑" w:hAnsi="微软雅黑" w:eastAsia="微软雅黑" w:cs="Arial"/>
                <w:sz w:val="18"/>
                <w:szCs w:val="18"/>
              </w:rPr>
              <w:t>真实业务流实时检测</w:t>
            </w:r>
            <w:r>
              <w:rPr>
                <w:rFonts w:hint="eastAsia" w:ascii="微软雅黑" w:hAnsi="微软雅黑" w:eastAsia="微软雅黑" w:cs="Arial"/>
                <w:sz w:val="18"/>
                <w:szCs w:val="18"/>
              </w:rPr>
              <w:t>技术</w:t>
            </w:r>
            <w:r>
              <w:rPr>
                <w:rFonts w:ascii="微软雅黑" w:hAnsi="微软雅黑" w:eastAsia="微软雅黑" w:cs="Arial"/>
                <w:sz w:val="18"/>
                <w:szCs w:val="18"/>
              </w:rPr>
              <w:t>，能实时检测网络故障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66" w:type="pct"/>
            <w:vMerge w:val="restart"/>
            <w:vAlign w:val="center"/>
          </w:tcPr>
          <w:p>
            <w:pPr>
              <w:spacing w:before="46" w:beforeLines="15" w:after="46" w:afterLines="15"/>
              <w:textAlignment w:val="baseline"/>
              <w:rPr>
                <w:rFonts w:ascii="微软雅黑" w:hAnsi="微软雅黑" w:eastAsia="微软雅黑" w:cs="Arial"/>
                <w:sz w:val="18"/>
                <w:szCs w:val="18"/>
              </w:rPr>
            </w:pPr>
            <w:r>
              <w:rPr>
                <w:rFonts w:hint="eastAsia" w:ascii="微软雅黑" w:hAnsi="微软雅黑" w:eastAsia="微软雅黑" w:cs="Arial"/>
                <w:sz w:val="18"/>
                <w:szCs w:val="18"/>
              </w:rPr>
              <w:t>资质</w:t>
            </w:r>
          </w:p>
        </w:tc>
        <w:tc>
          <w:tcPr>
            <w:tcW w:w="4234" w:type="pct"/>
            <w:noWrap/>
            <w:vAlign w:val="center"/>
          </w:tcPr>
          <w:p>
            <w:pPr>
              <w:widowControl/>
              <w:rPr>
                <w:rFonts w:ascii="微软雅黑" w:hAnsi="微软雅黑" w:eastAsia="微软雅黑" w:cs="Arial"/>
                <w:sz w:val="18"/>
                <w:szCs w:val="18"/>
              </w:rPr>
            </w:pPr>
            <w:r>
              <w:rPr>
                <w:rFonts w:hint="eastAsia" w:ascii="微软雅黑" w:hAnsi="微软雅黑" w:eastAsia="微软雅黑" w:cs="Arial"/>
                <w:sz w:val="18"/>
                <w:szCs w:val="18"/>
              </w:rPr>
              <w:t>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66" w:type="pct"/>
            <w:vMerge w:val="continue"/>
            <w:vAlign w:val="center"/>
          </w:tcPr>
          <w:p>
            <w:pPr>
              <w:widowControl/>
              <w:spacing w:before="46" w:beforeLines="15" w:after="46" w:afterLines="15"/>
              <w:textAlignment w:val="baseline"/>
              <w:rPr>
                <w:rFonts w:ascii="微软雅黑" w:hAnsi="微软雅黑" w:eastAsia="微软雅黑" w:cs="Arial"/>
                <w:sz w:val="18"/>
                <w:szCs w:val="18"/>
              </w:rPr>
            </w:pPr>
          </w:p>
        </w:tc>
        <w:tc>
          <w:tcPr>
            <w:tcW w:w="4234" w:type="pct"/>
            <w:noWrap/>
            <w:vAlign w:val="center"/>
          </w:tcPr>
          <w:p>
            <w:pPr>
              <w:widowControl/>
              <w:rPr>
                <w:rFonts w:ascii="微软雅黑" w:hAnsi="微软雅黑" w:eastAsia="微软雅黑" w:cs="Arial"/>
                <w:sz w:val="18"/>
                <w:szCs w:val="18"/>
              </w:rPr>
            </w:pPr>
            <w:r>
              <w:rPr>
                <w:rFonts w:hint="eastAsia" w:ascii="微软雅黑" w:hAnsi="微软雅黑" w:eastAsia="微软雅黑" w:cs="Arial"/>
                <w:sz w:val="18"/>
                <w:szCs w:val="18"/>
              </w:rPr>
              <w:t>投标产品须是国内外主流厂商产品，所投厂商的交换机产品在中国区市场占有率排名前三，提供权威的国际咨询机构证明报告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66" w:type="pct"/>
            <w:vMerge w:val="restart"/>
          </w:tcPr>
          <w:p>
            <w:pPr>
              <w:widowControl/>
              <w:spacing w:before="46" w:beforeLines="15" w:after="46" w:afterLines="15"/>
              <w:textAlignment w:val="baseline"/>
              <w:rPr>
                <w:rFonts w:ascii="微软雅黑" w:hAnsi="微软雅黑" w:eastAsia="微软雅黑" w:cs="Arial"/>
                <w:sz w:val="18"/>
                <w:szCs w:val="18"/>
              </w:rPr>
            </w:pPr>
            <w:r>
              <w:rPr>
                <w:rFonts w:hint="eastAsia" w:ascii="宋体" w:hAnsi="宋体" w:cs="宋体"/>
                <w:szCs w:val="21"/>
              </w:rPr>
              <w:t>售后服务要求</w:t>
            </w:r>
          </w:p>
        </w:tc>
        <w:tc>
          <w:tcPr>
            <w:tcW w:w="4234" w:type="pct"/>
            <w:noWrap/>
          </w:tcPr>
          <w:p>
            <w:pPr>
              <w:widowControl/>
              <w:rPr>
                <w:rFonts w:ascii="微软雅黑" w:hAnsi="微软雅黑" w:eastAsia="微软雅黑" w:cs="Arial"/>
                <w:sz w:val="18"/>
                <w:szCs w:val="18"/>
              </w:rPr>
            </w:pPr>
            <w:r>
              <w:rPr>
                <w:rFonts w:ascii="微软雅黑" w:hAnsi="微软雅黑" w:eastAsia="微软雅黑" w:cs="Arial"/>
                <w:sz w:val="18"/>
                <w:szCs w:val="18"/>
              </w:rPr>
              <w:t>提供原厂针对本项目开具的项目授权函</w:t>
            </w:r>
            <w:r>
              <w:rPr>
                <w:rFonts w:hint="eastAsia" w:ascii="微软雅黑" w:hAnsi="微软雅黑" w:eastAsia="微软雅黑" w:cs="Arial"/>
                <w:sz w:val="18"/>
                <w:szCs w:val="18"/>
              </w:rPr>
              <w:t>原件</w:t>
            </w:r>
            <w:r>
              <w:rPr>
                <w:rFonts w:ascii="微软雅黑" w:hAnsi="微软雅黑" w:eastAsia="微软雅黑" w:cs="Arial"/>
                <w:sz w:val="18"/>
                <w:szCs w:val="18"/>
              </w:rPr>
              <w:t>和</w:t>
            </w:r>
            <w:r>
              <w:rPr>
                <w:rFonts w:hint="eastAsia" w:ascii="微软雅黑" w:hAnsi="微软雅黑" w:eastAsia="微软雅黑" w:cs="Arial"/>
                <w:sz w:val="18"/>
                <w:szCs w:val="18"/>
              </w:rPr>
              <w:t>3</w:t>
            </w:r>
            <w:r>
              <w:rPr>
                <w:rFonts w:ascii="微软雅黑" w:hAnsi="微软雅黑" w:eastAsia="微软雅黑" w:cs="Arial"/>
                <w:sz w:val="18"/>
                <w:szCs w:val="18"/>
              </w:rPr>
              <w:t>年的原厂售后服务承诺函</w:t>
            </w:r>
            <w:r>
              <w:rPr>
                <w:rFonts w:hint="eastAsia" w:ascii="微软雅黑" w:hAnsi="微软雅黑" w:eastAsia="微软雅黑" w:cs="Arial"/>
                <w:sz w:val="18"/>
                <w:szCs w:val="18"/>
              </w:rPr>
              <w:t>原件</w:t>
            </w:r>
            <w:r>
              <w:rPr>
                <w:rFonts w:ascii="微软雅黑" w:hAnsi="微软雅黑" w:eastAsia="微软雅黑" w:cs="Arial"/>
                <w:sz w:val="18"/>
                <w:szCs w:val="18"/>
              </w:rPr>
              <w:t>，并加盖原厂公章或原厂项目授权专用章</w:t>
            </w:r>
            <w:r>
              <w:rPr>
                <w:rFonts w:hint="eastAsia" w:ascii="微软雅黑" w:hAnsi="微软雅黑"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66" w:type="pct"/>
            <w:vMerge w:val="continue"/>
          </w:tcPr>
          <w:p>
            <w:pPr>
              <w:widowControl/>
              <w:spacing w:before="46" w:beforeLines="15" w:after="46" w:afterLines="15"/>
              <w:textAlignment w:val="baseline"/>
              <w:rPr>
                <w:rFonts w:ascii="微软雅黑" w:hAnsi="微软雅黑" w:eastAsia="微软雅黑" w:cs="Arial"/>
                <w:sz w:val="18"/>
                <w:szCs w:val="18"/>
              </w:rPr>
            </w:pPr>
          </w:p>
        </w:tc>
        <w:tc>
          <w:tcPr>
            <w:tcW w:w="4234" w:type="pct"/>
            <w:noWrap/>
          </w:tcPr>
          <w:p>
            <w:pPr>
              <w:widowControl/>
              <w:rPr>
                <w:rFonts w:ascii="微软雅黑" w:hAnsi="微软雅黑" w:eastAsia="微软雅黑" w:cs="Arial"/>
                <w:sz w:val="18"/>
                <w:szCs w:val="18"/>
              </w:rPr>
            </w:pPr>
            <w:r>
              <w:rPr>
                <w:rFonts w:hint="eastAsia" w:ascii="微软雅黑" w:hAnsi="微软雅黑" w:eastAsia="微软雅黑" w:cs="Arial"/>
                <w:sz w:val="18"/>
                <w:szCs w:val="18"/>
              </w:rPr>
              <w:t>提供原厂首次安装实施服务，提供</w:t>
            </w:r>
            <w:r>
              <w:rPr>
                <w:rFonts w:ascii="微软雅黑" w:hAnsi="微软雅黑" w:eastAsia="微软雅黑" w:cs="Arial"/>
                <w:sz w:val="18"/>
                <w:szCs w:val="18"/>
              </w:rPr>
              <w:t>3</w:t>
            </w:r>
            <w:r>
              <w:rPr>
                <w:rFonts w:hint="eastAsia" w:ascii="微软雅黑" w:hAnsi="微软雅黑" w:eastAsia="微软雅黑" w:cs="Arial"/>
                <w:sz w:val="18"/>
                <w:szCs w:val="18"/>
              </w:rPr>
              <w:t>年7*24售后服务。</w:t>
            </w:r>
          </w:p>
        </w:tc>
      </w:tr>
    </w:tbl>
    <w:p>
      <w:pPr>
        <w:pStyle w:val="8"/>
        <w:widowControl/>
        <w:numPr>
          <w:ilvl w:val="0"/>
          <w:numId w:val="1"/>
        </w:numPr>
        <w:spacing w:before="100" w:beforeAutospacing="1"/>
        <w:ind w:firstLineChars="0"/>
        <w:jc w:val="left"/>
        <w:rPr>
          <w:rFonts w:ascii="宋体" w:hAnsi="宋体" w:eastAsia="宋体" w:cs="宋体"/>
          <w:b/>
          <w:kern w:val="0"/>
          <w:sz w:val="24"/>
        </w:rPr>
      </w:pPr>
      <w:r>
        <w:rPr>
          <w:rFonts w:hint="eastAsia" w:ascii="宋体" w:hAnsi="宋体" w:eastAsia="宋体" w:cs="宋体"/>
          <w:b/>
          <w:kern w:val="0"/>
          <w:sz w:val="24"/>
        </w:rPr>
        <w:t>虚拟化软件要求</w:t>
      </w:r>
    </w:p>
    <w:tbl>
      <w:tblPr>
        <w:tblStyle w:val="6"/>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56" w:type="pct"/>
            <w:vAlign w:val="center"/>
          </w:tcPr>
          <w:p>
            <w:pPr>
              <w:adjustRightInd w:val="0"/>
              <w:snapToGrid w:val="0"/>
              <w:jc w:val="center"/>
              <w:textAlignment w:val="center"/>
              <w:rPr>
                <w:szCs w:val="21"/>
              </w:rPr>
            </w:pPr>
            <w:r>
              <w:rPr>
                <w:rFonts w:hint="eastAsia"/>
                <w:szCs w:val="21"/>
              </w:rPr>
              <w:t>指标项</w:t>
            </w:r>
          </w:p>
        </w:tc>
        <w:tc>
          <w:tcPr>
            <w:tcW w:w="4044" w:type="pct"/>
            <w:vAlign w:val="center"/>
          </w:tcPr>
          <w:p>
            <w:pPr>
              <w:adjustRightInd w:val="0"/>
              <w:snapToGrid w:val="0"/>
              <w:jc w:val="center"/>
              <w:textAlignment w:val="center"/>
              <w:rPr>
                <w:szCs w:val="21"/>
              </w:rPr>
            </w:pPr>
            <w:r>
              <w:rPr>
                <w:rFonts w:hint="eastAsia"/>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Align w:val="center"/>
          </w:tcPr>
          <w:p>
            <w:pPr>
              <w:adjustRightInd w:val="0"/>
              <w:snapToGrid w:val="0"/>
              <w:jc w:val="center"/>
              <w:rPr>
                <w:bCs/>
                <w:szCs w:val="21"/>
              </w:rPr>
            </w:pPr>
            <w:r>
              <w:rPr>
                <w:rFonts w:hint="eastAsia"/>
                <w:szCs w:val="21"/>
              </w:rPr>
              <w:t>软件许可：</w:t>
            </w:r>
          </w:p>
        </w:tc>
        <w:tc>
          <w:tcPr>
            <w:tcW w:w="4044" w:type="pct"/>
            <w:vAlign w:val="center"/>
          </w:tcPr>
          <w:p>
            <w:pPr>
              <w:adjustRightInd w:val="0"/>
              <w:snapToGrid w:val="0"/>
              <w:rPr>
                <w:rFonts w:cs="微软雅黑"/>
                <w:szCs w:val="21"/>
              </w:rPr>
            </w:pPr>
            <w:r>
              <w:rPr>
                <w:rFonts w:hint="eastAsia"/>
                <w:szCs w:val="21"/>
              </w:rPr>
              <w:t>服务器虚拟化软件为最强功能版本，提供基于物理CPU的License，本项目配置CPU</w:t>
            </w:r>
            <w:r>
              <w:rPr>
                <w:rFonts w:hint="eastAsia" w:cs="微软雅黑"/>
                <w:szCs w:val="21"/>
              </w:rPr>
              <w:t>≥8个</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restart"/>
            <w:vAlign w:val="center"/>
          </w:tcPr>
          <w:p>
            <w:pPr>
              <w:adjustRightInd w:val="0"/>
              <w:snapToGrid w:val="0"/>
              <w:jc w:val="center"/>
              <w:rPr>
                <w:bCs/>
                <w:szCs w:val="21"/>
              </w:rPr>
            </w:pPr>
            <w:r>
              <w:rPr>
                <w:rFonts w:hint="eastAsia"/>
                <w:bCs/>
                <w:szCs w:val="21"/>
              </w:rPr>
              <w:t>基本要求</w:t>
            </w:r>
          </w:p>
        </w:tc>
        <w:tc>
          <w:tcPr>
            <w:tcW w:w="4044" w:type="pct"/>
            <w:vAlign w:val="center"/>
          </w:tcPr>
          <w:p>
            <w:pPr>
              <w:adjustRightInd w:val="0"/>
              <w:snapToGrid w:val="0"/>
              <w:rPr>
                <w:szCs w:val="21"/>
              </w:rPr>
            </w:pPr>
            <w:r>
              <w:rPr>
                <w:rFonts w:hint="eastAsia"/>
                <w:szCs w:val="21"/>
              </w:rPr>
              <w:t>采用裸金属架构，无需绑定操作系统即可搭建虚拟化平台。</w:t>
            </w:r>
            <w:r>
              <w:rPr>
                <w:szCs w:val="21"/>
              </w:rPr>
              <w:t>Hypervisor</w:t>
            </w:r>
            <w:r>
              <w:rPr>
                <w:rFonts w:hint="eastAsia"/>
                <w:szCs w:val="21"/>
              </w:rPr>
              <w:t>结构精简，部署后所占用的存储空间在</w:t>
            </w:r>
            <w:r>
              <w:rPr>
                <w:szCs w:val="21"/>
              </w:rPr>
              <w:t>1GB</w:t>
            </w:r>
            <w:r>
              <w:rPr>
                <w:rFonts w:hint="eastAsia"/>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虚拟机之间可以做到隔离保护，其中每一个虚拟机发生故障都不会影响同一个物理机上的其它虚拟机运行，每个虚拟机上的用户权限只限于本虚拟机之内，以保障系统平台的安全性。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虚拟机可以实现物理机的全部功能，如具有自己的资源（内存、</w:t>
            </w:r>
            <w:r>
              <w:rPr>
                <w:szCs w:val="21"/>
              </w:rPr>
              <w:t>CPU</w:t>
            </w:r>
            <w:r>
              <w:rPr>
                <w:rFonts w:hint="eastAsia"/>
                <w:szCs w:val="21"/>
              </w:rPr>
              <w:t>、网卡、存储），可以指定单独的</w:t>
            </w:r>
            <w:r>
              <w:rPr>
                <w:szCs w:val="21"/>
              </w:rPr>
              <w:t>IP</w:t>
            </w:r>
            <w:r>
              <w:rPr>
                <w:rFonts w:hint="eastAsia"/>
                <w:szCs w:val="21"/>
              </w:rPr>
              <w:t>地址、</w:t>
            </w:r>
            <w:r>
              <w:rPr>
                <w:szCs w:val="21"/>
              </w:rPr>
              <w:t>MAC</w:t>
            </w:r>
            <w:r>
              <w:rPr>
                <w:rFonts w:hint="eastAsia"/>
                <w:szCs w:val="21"/>
              </w:rPr>
              <w:t>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能够提供性能监控功能，可以对资源中的</w:t>
            </w:r>
            <w:r>
              <w:rPr>
                <w:szCs w:val="21"/>
              </w:rPr>
              <w:t>CPU</w:t>
            </w:r>
            <w:r>
              <w:rPr>
                <w:rFonts w:hint="eastAsia"/>
                <w:szCs w:val="21"/>
              </w:rPr>
              <w:t>、网络、磁盘使用率等指标进行实时统计，并能反映目前物理机、虚拟机的资源瓶颈。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restart"/>
            <w:vAlign w:val="center"/>
          </w:tcPr>
          <w:p>
            <w:pPr>
              <w:adjustRightInd w:val="0"/>
              <w:snapToGrid w:val="0"/>
              <w:jc w:val="center"/>
              <w:rPr>
                <w:bCs/>
                <w:szCs w:val="21"/>
              </w:rPr>
            </w:pPr>
            <w:r>
              <w:rPr>
                <w:rFonts w:hint="eastAsia"/>
                <w:bCs/>
                <w:szCs w:val="21"/>
              </w:rPr>
              <w:t>兼容性要求</w:t>
            </w:r>
          </w:p>
        </w:tc>
        <w:tc>
          <w:tcPr>
            <w:tcW w:w="4044" w:type="pct"/>
            <w:vAlign w:val="center"/>
          </w:tcPr>
          <w:p>
            <w:pPr>
              <w:adjustRightInd w:val="0"/>
              <w:snapToGrid w:val="0"/>
              <w:rPr>
                <w:szCs w:val="21"/>
              </w:rPr>
            </w:pPr>
            <w:r>
              <w:rPr>
                <w:rFonts w:hint="eastAsia"/>
                <w:szCs w:val="21"/>
              </w:rPr>
              <w:t>支持现有市场上的主流</w:t>
            </w:r>
            <w:r>
              <w:rPr>
                <w:szCs w:val="21"/>
              </w:rPr>
              <w:t>x86</w:t>
            </w:r>
            <w:r>
              <w:rPr>
                <w:rFonts w:hint="eastAsia"/>
                <w:szCs w:val="21"/>
              </w:rPr>
              <w:t>服务器，具有双方认可的官方服务器硬件兼容性列表，包括</w:t>
            </w:r>
            <w:r>
              <w:rPr>
                <w:szCs w:val="21"/>
              </w:rPr>
              <w:t>IBM</w:t>
            </w:r>
            <w:r>
              <w:rPr>
                <w:rFonts w:hint="eastAsia"/>
                <w:szCs w:val="21"/>
              </w:rPr>
              <w:t>、</w:t>
            </w:r>
            <w:r>
              <w:rPr>
                <w:szCs w:val="21"/>
              </w:rPr>
              <w:t>HP</w:t>
            </w:r>
            <w:r>
              <w:rPr>
                <w:rFonts w:hint="eastAsia"/>
                <w:szCs w:val="21"/>
              </w:rPr>
              <w:t>、</w:t>
            </w:r>
            <w:r>
              <w:rPr>
                <w:szCs w:val="21"/>
              </w:rPr>
              <w:t>DELL</w:t>
            </w:r>
            <w:r>
              <w:rPr>
                <w:rFonts w:hint="eastAsia"/>
                <w:szCs w:val="21"/>
              </w:rPr>
              <w:t>、</w:t>
            </w:r>
            <w:r>
              <w:rPr>
                <w:szCs w:val="21"/>
              </w:rPr>
              <w:t>Cisco</w:t>
            </w:r>
            <w:r>
              <w:rPr>
                <w:rFonts w:hint="eastAsia"/>
                <w:szCs w:val="21"/>
              </w:rPr>
              <w:t>、</w:t>
            </w:r>
            <w:r>
              <w:rPr>
                <w:szCs w:val="21"/>
              </w:rPr>
              <w:t>NEC</w:t>
            </w:r>
            <w:r>
              <w:rPr>
                <w:rFonts w:hint="eastAsia"/>
                <w:szCs w:val="21"/>
              </w:rPr>
              <w:t>以及国内自主品牌服务器等。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兼容现有市场上主流的存储阵列产品，具有双方认可的官方存储阵列兼容性列表，存储阵列类型包括</w:t>
            </w:r>
            <w:r>
              <w:rPr>
                <w:szCs w:val="21"/>
              </w:rPr>
              <w:t>SAN</w:t>
            </w:r>
            <w:r>
              <w:rPr>
                <w:rFonts w:hint="eastAsia"/>
                <w:szCs w:val="21"/>
              </w:rPr>
              <w:t>、</w:t>
            </w:r>
            <w:r>
              <w:rPr>
                <w:szCs w:val="21"/>
              </w:rPr>
              <w:t>NAS</w:t>
            </w:r>
            <w:r>
              <w:rPr>
                <w:rFonts w:hint="eastAsia"/>
                <w:szCs w:val="21"/>
              </w:rPr>
              <w:t>和</w:t>
            </w:r>
            <w:r>
              <w:rPr>
                <w:szCs w:val="21"/>
              </w:rPr>
              <w:t>iSCSI</w:t>
            </w:r>
            <w:r>
              <w:rPr>
                <w:rFonts w:hint="eastAsia"/>
                <w:szCs w:val="21"/>
              </w:rPr>
              <w:t>等，存储阵列品牌包括</w:t>
            </w:r>
            <w:r>
              <w:rPr>
                <w:szCs w:val="21"/>
              </w:rPr>
              <w:t>EMC</w:t>
            </w:r>
            <w:r>
              <w:rPr>
                <w:rFonts w:hint="eastAsia"/>
                <w:szCs w:val="21"/>
              </w:rPr>
              <w:t>、</w:t>
            </w:r>
            <w:r>
              <w:rPr>
                <w:szCs w:val="21"/>
              </w:rPr>
              <w:t>IBM</w:t>
            </w:r>
            <w:r>
              <w:rPr>
                <w:rFonts w:hint="eastAsia"/>
                <w:szCs w:val="21"/>
              </w:rPr>
              <w:t>、</w:t>
            </w:r>
            <w:r>
              <w:rPr>
                <w:szCs w:val="21"/>
              </w:rPr>
              <w:t>HP</w:t>
            </w:r>
            <w:r>
              <w:rPr>
                <w:rFonts w:hint="eastAsia"/>
                <w:szCs w:val="21"/>
              </w:rPr>
              <w:t>、</w:t>
            </w:r>
            <w:r>
              <w:rPr>
                <w:szCs w:val="21"/>
              </w:rPr>
              <w:t>HDS</w:t>
            </w:r>
            <w:r>
              <w:rPr>
                <w:rFonts w:hint="eastAsia"/>
                <w:szCs w:val="21"/>
              </w:rPr>
              <w:t>、</w:t>
            </w:r>
            <w:r>
              <w:rPr>
                <w:szCs w:val="21"/>
              </w:rPr>
              <w:t>NetApp</w:t>
            </w:r>
            <w:r>
              <w:rPr>
                <w:rFonts w:hint="eastAsia"/>
                <w:szCs w:val="21"/>
              </w:rPr>
              <w:t>、</w:t>
            </w:r>
            <w:r>
              <w:rPr>
                <w:szCs w:val="21"/>
              </w:rPr>
              <w:t>Dell</w:t>
            </w:r>
            <w:r>
              <w:rPr>
                <w:rFonts w:hint="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兼容现有市场上主流厂商的多款不同型号的服务器配件、网卡和</w:t>
            </w:r>
            <w:r>
              <w:rPr>
                <w:szCs w:val="21"/>
              </w:rPr>
              <w:t>HBA</w:t>
            </w:r>
            <w:r>
              <w:rPr>
                <w:rFonts w:hint="eastAsia"/>
                <w:szCs w:val="21"/>
              </w:rPr>
              <w:t>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兼容现有市场上</w:t>
            </w:r>
            <w:r>
              <w:rPr>
                <w:szCs w:val="21"/>
              </w:rPr>
              <w:t>x86</w:t>
            </w:r>
            <w:r>
              <w:rPr>
                <w:rFonts w:hint="eastAsia"/>
                <w:szCs w:val="21"/>
              </w:rPr>
              <w:t>服务器上能够运行的主流操作系统，具有双方认可的官方客户操作系统兼容性列表，</w:t>
            </w:r>
            <w:r>
              <w:rPr>
                <w:szCs w:val="21"/>
              </w:rPr>
              <w:t xml:space="preserve"> </w:t>
            </w:r>
            <w:r>
              <w:rPr>
                <w:rFonts w:hint="eastAsia"/>
                <w:szCs w:val="21"/>
              </w:rPr>
              <w:t>尤其包括以下操作系统：</w:t>
            </w:r>
            <w:r>
              <w:rPr>
                <w:szCs w:val="21"/>
              </w:rPr>
              <w:t>Windows XP</w:t>
            </w:r>
            <w:r>
              <w:rPr>
                <w:rFonts w:hint="eastAsia"/>
                <w:szCs w:val="21"/>
              </w:rPr>
              <w:t>、</w:t>
            </w:r>
            <w:r>
              <w:rPr>
                <w:szCs w:val="21"/>
              </w:rPr>
              <w:t>Windows Vista</w:t>
            </w:r>
            <w:r>
              <w:rPr>
                <w:rFonts w:hint="eastAsia"/>
                <w:szCs w:val="21"/>
              </w:rPr>
              <w:t>、</w:t>
            </w:r>
            <w:r>
              <w:rPr>
                <w:szCs w:val="21"/>
              </w:rPr>
              <w:t>Windows 2000</w:t>
            </w:r>
            <w:r>
              <w:rPr>
                <w:rFonts w:hint="eastAsia"/>
                <w:szCs w:val="21"/>
              </w:rPr>
              <w:t>、</w:t>
            </w:r>
            <w:r>
              <w:rPr>
                <w:szCs w:val="21"/>
              </w:rPr>
              <w:t>Windows 2003</w:t>
            </w:r>
            <w:r>
              <w:rPr>
                <w:rFonts w:hint="eastAsia"/>
                <w:szCs w:val="21"/>
              </w:rPr>
              <w:t>、</w:t>
            </w:r>
            <w:r>
              <w:rPr>
                <w:szCs w:val="21"/>
              </w:rPr>
              <w:t>Windows 2008</w:t>
            </w:r>
            <w:r>
              <w:rPr>
                <w:rFonts w:hint="eastAsia"/>
                <w:szCs w:val="21"/>
              </w:rPr>
              <w:t>、</w:t>
            </w:r>
            <w:r>
              <w:rPr>
                <w:szCs w:val="21"/>
              </w:rPr>
              <w:t>Windows 8</w:t>
            </w:r>
            <w:r>
              <w:rPr>
                <w:rFonts w:hint="eastAsia"/>
                <w:szCs w:val="21"/>
              </w:rPr>
              <w:t>、</w:t>
            </w:r>
            <w:r>
              <w:rPr>
                <w:szCs w:val="21"/>
              </w:rPr>
              <w:t>Redhat Linux</w:t>
            </w:r>
            <w:r>
              <w:rPr>
                <w:rFonts w:hint="eastAsia"/>
                <w:szCs w:val="21"/>
              </w:rPr>
              <w:t>、</w:t>
            </w:r>
            <w:r>
              <w:rPr>
                <w:szCs w:val="21"/>
              </w:rPr>
              <w:t>Suse linux</w:t>
            </w:r>
            <w:r>
              <w:rPr>
                <w:rFonts w:hint="eastAsia"/>
                <w:szCs w:val="21"/>
              </w:rPr>
              <w:t>、</w:t>
            </w:r>
            <w:r>
              <w:rPr>
                <w:szCs w:val="21"/>
              </w:rPr>
              <w:t>Solaris x86</w:t>
            </w:r>
            <w:r>
              <w:rPr>
                <w:rFonts w:hint="eastAsia"/>
                <w:szCs w:val="21"/>
              </w:rPr>
              <w:t>、</w:t>
            </w:r>
            <w:r>
              <w:rPr>
                <w:szCs w:val="21"/>
              </w:rPr>
              <w:t>FreeBSD</w:t>
            </w:r>
            <w:r>
              <w:rPr>
                <w:rFonts w:hint="eastAsia"/>
                <w:szCs w:val="21"/>
              </w:rPr>
              <w:t>、</w:t>
            </w:r>
            <w:r>
              <w:rPr>
                <w:szCs w:val="21"/>
              </w:rPr>
              <w:t>Ubuntu</w:t>
            </w:r>
            <w:r>
              <w:rPr>
                <w:rFonts w:hint="eastAsia"/>
                <w:szCs w:val="21"/>
              </w:rPr>
              <w:t>、</w:t>
            </w:r>
            <w:r>
              <w:rPr>
                <w:szCs w:val="21"/>
              </w:rPr>
              <w:t>Debian</w:t>
            </w:r>
            <w:r>
              <w:rPr>
                <w:rFonts w:hint="eastAsia"/>
                <w:szCs w:val="21"/>
              </w:rPr>
              <w:t>、</w:t>
            </w:r>
            <w:r>
              <w:rPr>
                <w:szCs w:val="21"/>
              </w:rPr>
              <w:t>Mac OS</w:t>
            </w:r>
            <w:r>
              <w:rPr>
                <w:rFonts w:hint="eastAsia"/>
                <w:szCs w:val="21"/>
              </w:rPr>
              <w:t>等，虚拟机上的操作系统不进行任何修改即可运行。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w:t>
            </w:r>
            <w:r>
              <w:rPr>
                <w:szCs w:val="21"/>
              </w:rPr>
              <w:t xml:space="preserve">NVIDIA GRID vGPU , NVIDIA </w:t>
            </w:r>
            <w:r>
              <w:rPr>
                <w:rFonts w:hint="eastAsia"/>
                <w:szCs w:val="21"/>
              </w:rPr>
              <w:t>硬件加速图形处理为桌面虚拟化提供出色的</w:t>
            </w:r>
            <w:r>
              <w:rPr>
                <w:szCs w:val="21"/>
              </w:rPr>
              <w:t>2D</w:t>
            </w:r>
            <w:r>
              <w:rPr>
                <w:rFonts w:hint="eastAsia"/>
                <w:szCs w:val="21"/>
              </w:rPr>
              <w:t>和</w:t>
            </w:r>
            <w:r>
              <w:rPr>
                <w:szCs w:val="21"/>
              </w:rPr>
              <w:t>3D</w:t>
            </w:r>
            <w:r>
              <w:rPr>
                <w:rFonts w:hint="eastAsia"/>
                <w:szCs w:val="21"/>
              </w:rPr>
              <w:t>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956" w:type="pct"/>
            <w:vMerge w:val="restart"/>
            <w:vAlign w:val="center"/>
          </w:tcPr>
          <w:p>
            <w:pPr>
              <w:adjustRightInd w:val="0"/>
              <w:snapToGrid w:val="0"/>
              <w:jc w:val="center"/>
              <w:rPr>
                <w:bCs/>
                <w:szCs w:val="21"/>
              </w:rPr>
            </w:pPr>
            <w:r>
              <w:rPr>
                <w:rFonts w:hint="eastAsia"/>
                <w:bCs/>
                <w:szCs w:val="21"/>
              </w:rPr>
              <w:t>功能性要求</w:t>
            </w:r>
          </w:p>
        </w:tc>
        <w:tc>
          <w:tcPr>
            <w:tcW w:w="4044" w:type="pct"/>
            <w:vAlign w:val="center"/>
          </w:tcPr>
          <w:p>
            <w:pPr>
              <w:adjustRightInd w:val="0"/>
              <w:snapToGrid w:val="0"/>
              <w:rPr>
                <w:szCs w:val="21"/>
              </w:rPr>
            </w:pPr>
            <w:r>
              <w:rPr>
                <w:rFonts w:hint="eastAsia"/>
                <w:szCs w:val="21"/>
              </w:rPr>
              <w:t>提供</w:t>
            </w:r>
            <w:r>
              <w:rPr>
                <w:szCs w:val="21"/>
              </w:rPr>
              <w:t>HA</w:t>
            </w:r>
            <w:r>
              <w:rPr>
                <w:rFonts w:hint="eastAsia"/>
                <w:szCs w:val="21"/>
              </w:rPr>
              <w:t>功能，当集群中的主机硬件或虚拟化软件发生故障时，该主机上的虚拟机可以在集群之内的其它主机上自动重启。当虚拟机的客户操作系统出现故障时，可以根据优先级和依赖关系自动重启该虚拟机客户操作系统，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w:t>
            </w:r>
            <w:r>
              <w:rPr>
                <w:szCs w:val="21"/>
              </w:rPr>
              <w:t>UEFI</w:t>
            </w:r>
            <w:r>
              <w:rPr>
                <w:rFonts w:hint="eastAsia"/>
                <w:szCs w:val="21"/>
              </w:rPr>
              <w:t>安全启动功能，通过确保映像未被篡改并阻止加载未授权组件来保护</w:t>
            </w:r>
            <w:r>
              <w:rPr>
                <w:szCs w:val="21"/>
              </w:rPr>
              <w:t>Hypervisor</w:t>
            </w:r>
            <w:r>
              <w:rPr>
                <w:rFonts w:hint="eastAsia"/>
                <w:szCs w:val="21"/>
              </w:rPr>
              <w:t>和客户操作系统。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提供对虚拟机和磁盘数据的静态加密功能，虚拟机在线迁移过程中可以对虚拟机和磁盘数据进行加密，防止进行未授权访问。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提供适用于容器的虚拟基础架构平台，提供</w:t>
            </w:r>
            <w:r>
              <w:rPr>
                <w:szCs w:val="21"/>
              </w:rPr>
              <w:t>REST API</w:t>
            </w:r>
            <w:r>
              <w:rPr>
                <w:rFonts w:hint="eastAsia"/>
                <w:szCs w:val="21"/>
              </w:rPr>
              <w:t>接口来接收并执行开发人员的命令。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提供容错机制，可以保证运行虚拟机的主机发生故障时，虚拟机会自动触发透明故障切换，同时不会引起任何数据丢失或停机。支持不少于</w:t>
            </w:r>
            <w:r>
              <w:rPr>
                <w:szCs w:val="21"/>
              </w:rPr>
              <w:t>4</w:t>
            </w:r>
            <w:r>
              <w:rPr>
                <w:rFonts w:hint="eastAsia"/>
                <w:szCs w:val="21"/>
              </w:rPr>
              <w:t>个虚拟</w:t>
            </w:r>
            <w:r>
              <w:rPr>
                <w:szCs w:val="21"/>
              </w:rPr>
              <w:t>CPU</w:t>
            </w:r>
            <w:r>
              <w:rPr>
                <w:rFonts w:hint="eastAsia"/>
                <w:szCs w:val="21"/>
              </w:rPr>
              <w:t>的工作负载容错功能。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支持虚拟机的在线迁移功能，无论有无共享存储，都可以在不中断用户使用和不丢失服务的情况下在服务器之间实时迁移虚拟机，保障业务连续性。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提供跨分布式交换机、三层、数据中心和跨云的虚拟机在线复制、迁移功能，可实现远距离无中断实时迁移工作负载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可以实现基于</w:t>
            </w:r>
            <w:r>
              <w:rPr>
                <w:szCs w:val="21"/>
              </w:rPr>
              <w:t>LAN</w:t>
            </w:r>
            <w:r>
              <w:rPr>
                <w:rFonts w:hint="eastAsia"/>
                <w:szCs w:val="21"/>
              </w:rPr>
              <w:t>或</w:t>
            </w:r>
            <w:r>
              <w:rPr>
                <w:szCs w:val="21"/>
              </w:rPr>
              <w:t>WAN</w:t>
            </w:r>
            <w:r>
              <w:rPr>
                <w:rFonts w:hint="eastAsia"/>
                <w:szCs w:val="21"/>
              </w:rPr>
              <w:t>的、独立于磁盘阵列的虚拟机级别的复制，可以对虚拟机数据进行基于多个时间点的复制。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提供虚拟机的备份功能，能够利用重复数据删除技术对整个虚拟机或虚拟机单个磁盘快速进行无代理备份</w:t>
            </w:r>
            <w:r>
              <w:rPr>
                <w:szCs w:val="21"/>
              </w:rPr>
              <w:t>(</w:t>
            </w:r>
            <w:r>
              <w:rPr>
                <w:rFonts w:hint="eastAsia"/>
                <w:szCs w:val="21"/>
              </w:rPr>
              <w:t>全备份或增量备份</w:t>
            </w:r>
            <w:r>
              <w:rPr>
                <w:szCs w:val="21"/>
              </w:rPr>
              <w:t>)</w:t>
            </w:r>
            <w:r>
              <w:rPr>
                <w:rFonts w:hint="eastAsia"/>
                <w:szCs w:val="21"/>
              </w:rPr>
              <w:t>和恢复。同时提供备份接口，能够与第三方备份软件无缝兼容对虚拟机进行集中备份。还支持诸如</w:t>
            </w:r>
            <w:r>
              <w:rPr>
                <w:szCs w:val="21"/>
              </w:rPr>
              <w:t>Microsoft Exchange</w:t>
            </w:r>
            <w:r>
              <w:rPr>
                <w:rFonts w:hint="eastAsia"/>
                <w:szCs w:val="21"/>
              </w:rPr>
              <w:t>、</w:t>
            </w:r>
            <w:r>
              <w:rPr>
                <w:szCs w:val="21"/>
              </w:rPr>
              <w:t xml:space="preserve">SQL Server </w:t>
            </w:r>
            <w:r>
              <w:rPr>
                <w:rFonts w:hint="eastAsia"/>
                <w:szCs w:val="21"/>
              </w:rPr>
              <w:t>和</w:t>
            </w:r>
            <w:r>
              <w:rPr>
                <w:szCs w:val="21"/>
              </w:rPr>
              <w:t xml:space="preserve"> SharePoint </w:t>
            </w:r>
            <w:r>
              <w:rPr>
                <w:rFonts w:hint="eastAsia"/>
                <w:szCs w:val="21"/>
              </w:rPr>
              <w:t>应用级的备份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提供高效的内存调度与保护机制，能够实现内存的过量使用，以此保证虚拟平台不会被暂时的物理内存耗尽而崩溃，同时实现虚拟内存可以超过物理内存。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可以为虚拟机创建一个或多个快照来保存虚拟机的基于时间点的运行状况和数据。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提供专用的</w:t>
            </w:r>
            <w:r>
              <w:rPr>
                <w:szCs w:val="21"/>
              </w:rPr>
              <w:t>P2V</w:t>
            </w:r>
            <w:r>
              <w:rPr>
                <w:rFonts w:hint="eastAsia"/>
                <w:szCs w:val="21"/>
              </w:rPr>
              <w:t>工具，实现在线物理机至虚拟机的无间断平滑转换。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虚拟机支持</w:t>
            </w:r>
            <w:r>
              <w:rPr>
                <w:szCs w:val="21"/>
              </w:rPr>
              <w:t>USB 3.0</w:t>
            </w:r>
            <w:r>
              <w:rPr>
                <w:rFonts w:hint="eastAsia"/>
                <w:szCs w:val="21"/>
              </w:rPr>
              <w:t>设备，支持</w:t>
            </w:r>
            <w:r>
              <w:rPr>
                <w:szCs w:val="21"/>
              </w:rPr>
              <w:t>3D</w:t>
            </w:r>
            <w:r>
              <w:rPr>
                <w:rFonts w:hint="eastAsia"/>
                <w:szCs w:val="21"/>
              </w:rPr>
              <w:t>显示卡虚拟化功能。虚拟机支持</w:t>
            </w:r>
            <w:r>
              <w:rPr>
                <w:szCs w:val="21"/>
              </w:rPr>
              <w:t>3D</w:t>
            </w:r>
            <w:r>
              <w:rPr>
                <w:rFonts w:hint="eastAsia"/>
                <w:szCs w:val="21"/>
              </w:rPr>
              <w:t>图形加速功能，可以根据需要启用或停用。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提供防病毒和防恶意软件解决方案，可以与第三方杀毒软件或安全软件融合，无需在虚拟机内安装代理即可保护虚拟机，实现虚拟化环境下的安全防范。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虚拟机支持直接访问裸设备，将虚拟机数据直接存储在</w:t>
            </w:r>
            <w:r>
              <w:rPr>
                <w:szCs w:val="21"/>
              </w:rPr>
              <w:t>LUN</w:t>
            </w:r>
            <w:r>
              <w:rPr>
                <w:rFonts w:hint="eastAsia"/>
                <w:szCs w:val="21"/>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具有存储精简配置能力，可以超额分配存储容量，提高存储的利用率，减少存储容量的需求。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提供虚拟机的存储在线迁移功能，无需中断或停机即可将正在运行的虚拟机从一个存储位置实时迁移到另一个存储位置。支持跨不同存储类型以及不同厂商存储产品之间进行在线迁移。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提供热添加</w:t>
            </w:r>
            <w:r>
              <w:rPr>
                <w:szCs w:val="21"/>
              </w:rPr>
              <w:t>CPU</w:t>
            </w:r>
            <w:r>
              <w:rPr>
                <w:rFonts w:hint="eastAsia"/>
                <w:szCs w:val="21"/>
              </w:rPr>
              <w:t>，磁盘和内存的功能，无需中断或停机即可根据需要向虚拟机添加</w:t>
            </w:r>
            <w:r>
              <w:rPr>
                <w:szCs w:val="21"/>
              </w:rPr>
              <w:t>CPU</w:t>
            </w:r>
            <w:r>
              <w:rPr>
                <w:rFonts w:hint="eastAsia"/>
                <w:szCs w:val="21"/>
              </w:rPr>
              <w:t>，磁盘和内存。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提供具有存储识别功能的</w:t>
            </w:r>
            <w:r>
              <w:rPr>
                <w:szCs w:val="21"/>
              </w:rPr>
              <w:t>API</w:t>
            </w:r>
            <w:r>
              <w:rPr>
                <w:rFonts w:hint="eastAsia"/>
                <w:szCs w:val="21"/>
              </w:rPr>
              <w:t>，使第三方存储厂商可以将存储软件与虚拟化平台更好的整合，使虚拟化平台能够识别特定磁盘阵列的功能特性以及状态信息。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支持虚拟机可以被外部存储阵列识别，实现基于存储策略的管理</w:t>
            </w:r>
            <w:r>
              <w:rPr>
                <w:szCs w:val="21"/>
              </w:rPr>
              <w:t>(SPBM)</w:t>
            </w:r>
            <w:r>
              <w:rPr>
                <w:rFonts w:hint="eastAsia"/>
                <w:szCs w:val="21"/>
              </w:rPr>
              <w:t>，可允许跨存储层实现通用管理以及动态存储类服务自动化，可实现按虚拟机级别的数据服务</w:t>
            </w:r>
            <w:r>
              <w:rPr>
                <w:szCs w:val="21"/>
              </w:rPr>
              <w:t>(</w:t>
            </w:r>
            <w:r>
              <w:rPr>
                <w:rFonts w:hint="eastAsia"/>
                <w:szCs w:val="21"/>
              </w:rPr>
              <w:t>快照、克隆、远程复制、重复数据消除等</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支持跨多个</w:t>
            </w:r>
            <w:r>
              <w:rPr>
                <w:szCs w:val="21"/>
              </w:rPr>
              <w:t>LUN</w:t>
            </w:r>
            <w:r>
              <w:rPr>
                <w:rFonts w:hint="eastAsia"/>
                <w:szCs w:val="21"/>
              </w:rPr>
              <w:t>的共享数据文件系统，可以聚合至少</w:t>
            </w:r>
            <w:r>
              <w:rPr>
                <w:szCs w:val="21"/>
              </w:rPr>
              <w:t>32</w:t>
            </w:r>
            <w:r>
              <w:rPr>
                <w:rFonts w:hint="eastAsia"/>
                <w:szCs w:val="21"/>
              </w:rPr>
              <w:t>个异构逻辑卷（</w:t>
            </w:r>
            <w:r>
              <w:rPr>
                <w:szCs w:val="21"/>
              </w:rPr>
              <w:t>LUN</w:t>
            </w:r>
            <w:r>
              <w:rPr>
                <w:rFonts w:hint="eastAsia"/>
                <w:szCs w:val="21"/>
              </w:rPr>
              <w:t>），支持在线实时添加</w:t>
            </w:r>
            <w:r>
              <w:rPr>
                <w:szCs w:val="21"/>
              </w:rPr>
              <w:t>LUN</w:t>
            </w:r>
            <w:r>
              <w:rPr>
                <w:rFonts w:hint="eastAsia"/>
                <w:szCs w:val="21"/>
              </w:rPr>
              <w:t>以实现集群卷容量动态增长，可支持至少</w:t>
            </w:r>
            <w:r>
              <w:rPr>
                <w:szCs w:val="21"/>
              </w:rPr>
              <w:t>64TB</w:t>
            </w:r>
            <w:r>
              <w:rPr>
                <w:rFonts w:hint="eastAsia"/>
                <w:szCs w:val="21"/>
              </w:rPr>
              <w:t>容量集群卷。虚拟机文件系统也支持主流存储厂商的存储自动分层功能。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提供将多台物理主机组成集群的能力，同时支持动态资源分配功能，可为整个集群中的虚拟机提供独立于硬件的动态负载平衡和资源分配，增强业务系统的服务质量。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具有智能的电源管理功能，可以持续地优化每个集群中的服务器功耗，根据集群内服务器的负载状况对物理主机自行下电和加电，更好地支持绿色环保节能减排的政策。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提供基于存储的</w:t>
            </w:r>
            <w:r>
              <w:rPr>
                <w:szCs w:val="21"/>
              </w:rPr>
              <w:t>API</w:t>
            </w:r>
            <w:r>
              <w:rPr>
                <w:rFonts w:hint="eastAsia"/>
                <w:szCs w:val="21"/>
              </w:rPr>
              <w:t>，以利用基于磁盘阵列的高效操作和第三方存储供应商的多路径软件功能，进而改进性能，可靠性和可扩展性。支持对现有市场上主流的存储厂商的存储进行虚拟化加速功能。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分布式虚拟交换机功能，实现虚拟机之间或虚拟机与物理机之间的网络调度，通过分布式虚拟交换机可以在单一界面中对虚拟化集群环境进行统一的网络管理。同时提供网络接口，支持第三方虚拟网络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可以利用服务器的本地闪存，提供一个可大幅缩短应用延迟的高性能分布式读缓存层，提高虚拟机的性能。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提供虚拟机存储的动态负载平衡功能，通过存储特征来确定虚拟机数据在创建和使用时的最佳驻留位置，可根据存储卷性能及容量情况进行无中断自动迁移，消除存储隐患。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支持网络</w:t>
            </w:r>
            <w:r>
              <w:rPr>
                <w:szCs w:val="21"/>
              </w:rPr>
              <w:t xml:space="preserve"> IO </w:t>
            </w:r>
            <w:r>
              <w:rPr>
                <w:rFonts w:hint="eastAsia"/>
                <w:szCs w:val="21"/>
              </w:rPr>
              <w:t>控制</w:t>
            </w:r>
            <w:r>
              <w:rPr>
                <w:szCs w:val="21"/>
              </w:rPr>
              <w:t xml:space="preserve"> — </w:t>
            </w:r>
            <w:r>
              <w:rPr>
                <w:rFonts w:hint="eastAsia"/>
                <w:szCs w:val="21"/>
              </w:rPr>
              <w:t>支持按虚拟机和分布式交换机进行带宽预留</w:t>
            </w:r>
            <w:r>
              <w:rPr>
                <w:szCs w:val="21"/>
              </w:rPr>
              <w:t>,</w:t>
            </w:r>
            <w:r>
              <w:rPr>
                <w:rFonts w:hint="eastAsia"/>
                <w:szCs w:val="21"/>
              </w:rPr>
              <w:t>以保证最低服务级别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支持存储的</w:t>
            </w:r>
            <w:r>
              <w:rPr>
                <w:szCs w:val="21"/>
              </w:rPr>
              <w:t>I/O</w:t>
            </w:r>
            <w:r>
              <w:rPr>
                <w:rFonts w:hint="eastAsia"/>
                <w:szCs w:val="21"/>
              </w:rPr>
              <w:t>控制功能，可以根据虚拟机的服务质量优先级别，对存储</w:t>
            </w:r>
            <w:r>
              <w:rPr>
                <w:szCs w:val="21"/>
              </w:rPr>
              <w:t>I/O</w:t>
            </w:r>
            <w:r>
              <w:rPr>
                <w:rFonts w:hint="eastAsia"/>
                <w:szCs w:val="21"/>
              </w:rPr>
              <w:t>进行流量控制，确保虚拟机对存储资源的访问。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支持单根</w:t>
            </w:r>
            <w:r>
              <w:rPr>
                <w:szCs w:val="21"/>
              </w:rPr>
              <w:t>I/O</w:t>
            </w:r>
            <w:r>
              <w:rPr>
                <w:rFonts w:hint="eastAsia"/>
                <w:szCs w:val="21"/>
              </w:rPr>
              <w:t>虚拟化功能</w:t>
            </w:r>
            <w:r>
              <w:rPr>
                <w:szCs w:val="21"/>
              </w:rPr>
              <w:t>(SR-IOV</w:t>
            </w:r>
            <w:r>
              <w:rPr>
                <w:rFonts w:hint="eastAsia"/>
                <w:szCs w:val="21"/>
              </w:rPr>
              <w:t>），以实现低延迟和高</w:t>
            </w:r>
            <w:r>
              <w:rPr>
                <w:szCs w:val="21"/>
              </w:rPr>
              <w:t>I/O</w:t>
            </w:r>
            <w:r>
              <w:rPr>
                <w:rFonts w:hint="eastAsia"/>
                <w:szCs w:val="21"/>
              </w:rPr>
              <w:t>工作负载，实现对复杂应用的性能优化。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restart"/>
            <w:vAlign w:val="center"/>
          </w:tcPr>
          <w:p>
            <w:pPr>
              <w:adjustRightInd w:val="0"/>
              <w:snapToGrid w:val="0"/>
              <w:jc w:val="center"/>
              <w:rPr>
                <w:bCs/>
                <w:szCs w:val="21"/>
              </w:rPr>
            </w:pPr>
            <w:r>
              <w:rPr>
                <w:rFonts w:hint="eastAsia"/>
                <w:bCs/>
                <w:szCs w:val="21"/>
              </w:rPr>
              <w:t>扩展性要求</w:t>
            </w:r>
          </w:p>
        </w:tc>
        <w:tc>
          <w:tcPr>
            <w:tcW w:w="4044" w:type="pct"/>
            <w:vAlign w:val="center"/>
          </w:tcPr>
          <w:p>
            <w:pPr>
              <w:adjustRightInd w:val="0"/>
              <w:snapToGrid w:val="0"/>
              <w:rPr>
                <w:szCs w:val="21"/>
              </w:rPr>
            </w:pPr>
            <w:r>
              <w:rPr>
                <w:rFonts w:hint="eastAsia"/>
                <w:szCs w:val="21"/>
              </w:rPr>
              <w:t>每台虚拟化主机至少支持</w:t>
            </w:r>
            <w:r>
              <w:rPr>
                <w:szCs w:val="21"/>
              </w:rPr>
              <w:t>480</w:t>
            </w:r>
            <w:r>
              <w:rPr>
                <w:rFonts w:hint="eastAsia"/>
                <w:szCs w:val="21"/>
              </w:rPr>
              <w:t>颗逻辑</w:t>
            </w:r>
            <w:r>
              <w:rPr>
                <w:szCs w:val="21"/>
              </w:rPr>
              <w:t>CPU</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Cs/>
                <w:szCs w:val="21"/>
              </w:rPr>
            </w:pPr>
          </w:p>
        </w:tc>
        <w:tc>
          <w:tcPr>
            <w:tcW w:w="4044" w:type="pct"/>
            <w:vAlign w:val="center"/>
          </w:tcPr>
          <w:p>
            <w:pPr>
              <w:adjustRightInd w:val="0"/>
              <w:snapToGrid w:val="0"/>
              <w:rPr>
                <w:szCs w:val="21"/>
              </w:rPr>
            </w:pPr>
            <w:r>
              <w:rPr>
                <w:rFonts w:hint="eastAsia"/>
                <w:szCs w:val="21"/>
              </w:rPr>
              <w:t>每台虚拟化主机至少支持</w:t>
            </w:r>
            <w:r>
              <w:rPr>
                <w:szCs w:val="21"/>
              </w:rPr>
              <w:t>4096</w:t>
            </w:r>
            <w:r>
              <w:rPr>
                <w:rFonts w:hint="eastAsia"/>
                <w:szCs w:val="21"/>
              </w:rPr>
              <w:t>颗虚拟</w:t>
            </w:r>
            <w:r>
              <w:rPr>
                <w:szCs w:val="21"/>
              </w:rPr>
              <w:t>CPU(vCPU)</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Cs/>
                <w:szCs w:val="21"/>
              </w:rPr>
            </w:pPr>
          </w:p>
        </w:tc>
        <w:tc>
          <w:tcPr>
            <w:tcW w:w="4044" w:type="pct"/>
            <w:vAlign w:val="center"/>
          </w:tcPr>
          <w:p>
            <w:pPr>
              <w:adjustRightInd w:val="0"/>
              <w:snapToGrid w:val="0"/>
              <w:rPr>
                <w:szCs w:val="21"/>
              </w:rPr>
            </w:pPr>
            <w:r>
              <w:rPr>
                <w:rFonts w:hint="eastAsia"/>
                <w:szCs w:val="21"/>
              </w:rPr>
              <w:t>每台虚拟化主机至少支持</w:t>
            </w:r>
            <w:r>
              <w:rPr>
                <w:szCs w:val="21"/>
              </w:rPr>
              <w:t>12TB</w:t>
            </w:r>
            <w:r>
              <w:rPr>
                <w:rFonts w:hint="eastAsia"/>
                <w:szCs w:val="21"/>
              </w:rPr>
              <w:t>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Cs/>
                <w:szCs w:val="21"/>
              </w:rPr>
            </w:pPr>
          </w:p>
        </w:tc>
        <w:tc>
          <w:tcPr>
            <w:tcW w:w="4044" w:type="pct"/>
            <w:vAlign w:val="center"/>
          </w:tcPr>
          <w:p>
            <w:pPr>
              <w:adjustRightInd w:val="0"/>
              <w:snapToGrid w:val="0"/>
              <w:rPr>
                <w:szCs w:val="21"/>
              </w:rPr>
            </w:pPr>
            <w:r>
              <w:rPr>
                <w:rFonts w:hint="eastAsia"/>
                <w:szCs w:val="21"/>
              </w:rPr>
              <w:t>每个虚拟机的内存至少可以达到</w:t>
            </w:r>
            <w:r>
              <w:rPr>
                <w:szCs w:val="21"/>
              </w:rPr>
              <w:t>4TB</w:t>
            </w:r>
            <w:r>
              <w:rPr>
                <w:rFonts w:hint="eastAsia"/>
                <w:szCs w:val="21"/>
              </w:rPr>
              <w:t>，要求提供官网链接。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Cs/>
                <w:szCs w:val="21"/>
              </w:rPr>
            </w:pPr>
          </w:p>
        </w:tc>
        <w:tc>
          <w:tcPr>
            <w:tcW w:w="4044" w:type="pct"/>
            <w:vAlign w:val="center"/>
          </w:tcPr>
          <w:p>
            <w:pPr>
              <w:adjustRightInd w:val="0"/>
              <w:snapToGrid w:val="0"/>
              <w:rPr>
                <w:szCs w:val="21"/>
              </w:rPr>
            </w:pPr>
            <w:r>
              <w:rPr>
                <w:rFonts w:hint="eastAsia"/>
                <w:szCs w:val="21"/>
              </w:rPr>
              <w:t>官方公布虚拟机至少支持</w:t>
            </w:r>
            <w:r>
              <w:rPr>
                <w:szCs w:val="21"/>
              </w:rPr>
              <w:t>150</w:t>
            </w:r>
            <w:r>
              <w:rPr>
                <w:rFonts w:hint="eastAsia"/>
                <w:szCs w:val="21"/>
              </w:rPr>
              <w:t>种以上的客户操作系统，要求提供官网链接。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restart"/>
            <w:vAlign w:val="center"/>
          </w:tcPr>
          <w:p>
            <w:pPr>
              <w:adjustRightInd w:val="0"/>
              <w:snapToGrid w:val="0"/>
              <w:jc w:val="center"/>
              <w:rPr>
                <w:bCs/>
                <w:szCs w:val="21"/>
              </w:rPr>
            </w:pPr>
            <w:r>
              <w:rPr>
                <w:rFonts w:hint="eastAsia"/>
                <w:bCs/>
                <w:szCs w:val="21"/>
              </w:rPr>
              <w:t>服务及其它要求</w:t>
            </w:r>
          </w:p>
        </w:tc>
        <w:tc>
          <w:tcPr>
            <w:tcW w:w="4044" w:type="pct"/>
            <w:vAlign w:val="center"/>
          </w:tcPr>
          <w:p>
            <w:pPr>
              <w:adjustRightInd w:val="0"/>
              <w:snapToGrid w:val="0"/>
              <w:rPr>
                <w:szCs w:val="21"/>
              </w:rPr>
            </w:pPr>
            <w:r>
              <w:rPr>
                <w:rFonts w:hint="eastAsia"/>
                <w:szCs w:val="21"/>
              </w:rPr>
              <w:t>虚拟化软件的所有功能须为同一家厂商提供，禁止借用第三方软件的整合，以保证功能的可靠性和安全性。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rFonts w:cs="微软雅黑"/>
                <w:szCs w:val="21"/>
              </w:rPr>
            </w:pPr>
            <w:r>
              <w:rPr>
                <w:szCs w:val="21"/>
              </w:rPr>
              <w:t>提供原厂针对本项目开具的项目授权函</w:t>
            </w:r>
            <w:r>
              <w:rPr>
                <w:rFonts w:hint="eastAsia"/>
                <w:szCs w:val="21"/>
              </w:rPr>
              <w:t>原件</w:t>
            </w:r>
            <w:r>
              <w:rPr>
                <w:szCs w:val="21"/>
              </w:rPr>
              <w:t>和1年的原厂售后服务承诺函</w:t>
            </w:r>
            <w:r>
              <w:rPr>
                <w:rFonts w:hint="eastAsia"/>
                <w:szCs w:val="21"/>
              </w:rPr>
              <w:t>原件</w:t>
            </w:r>
            <w:r>
              <w:rPr>
                <w:szCs w:val="21"/>
              </w:rPr>
              <w:t>，并加盖原厂公章或原厂项目授权专用章</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pct"/>
            <w:vMerge w:val="continue"/>
            <w:vAlign w:val="center"/>
          </w:tcPr>
          <w:p>
            <w:pPr>
              <w:adjustRightInd w:val="0"/>
              <w:snapToGrid w:val="0"/>
              <w:rPr>
                <w:b/>
                <w:bCs/>
                <w:szCs w:val="21"/>
              </w:rPr>
            </w:pPr>
          </w:p>
        </w:tc>
        <w:tc>
          <w:tcPr>
            <w:tcW w:w="4044" w:type="pct"/>
            <w:vAlign w:val="center"/>
          </w:tcPr>
          <w:p>
            <w:pPr>
              <w:adjustRightInd w:val="0"/>
              <w:snapToGrid w:val="0"/>
              <w:rPr>
                <w:szCs w:val="21"/>
              </w:rPr>
            </w:pPr>
            <w:r>
              <w:rPr>
                <w:rFonts w:hint="eastAsia"/>
                <w:szCs w:val="21"/>
              </w:rPr>
              <w:t>提供</w:t>
            </w:r>
            <w:r>
              <w:rPr>
                <w:szCs w:val="21"/>
              </w:rPr>
              <w:t>1</w:t>
            </w:r>
            <w:r>
              <w:rPr>
                <w:rFonts w:hint="eastAsia"/>
                <w:szCs w:val="21"/>
              </w:rPr>
              <w:t xml:space="preserve">年软件升级服务、在线支持服务、免费电话支持服务。 </w:t>
            </w:r>
          </w:p>
        </w:tc>
      </w:tr>
    </w:tbl>
    <w:p>
      <w:pPr>
        <w:widowControl/>
        <w:spacing w:before="100" w:beforeAutospacing="1"/>
        <w:jc w:val="left"/>
        <w:rPr>
          <w:rFonts w:ascii="宋体" w:hAnsi="宋体" w:eastAsia="宋体" w:cs="宋体"/>
          <w:b/>
          <w:kern w:val="0"/>
          <w:sz w:val="24"/>
        </w:rPr>
      </w:pPr>
    </w:p>
    <w:p>
      <w:pPr>
        <w:pStyle w:val="8"/>
        <w:widowControl/>
        <w:numPr>
          <w:ilvl w:val="0"/>
          <w:numId w:val="1"/>
        </w:numPr>
        <w:spacing w:before="100" w:beforeAutospacing="1"/>
        <w:ind w:firstLineChars="0"/>
        <w:jc w:val="left"/>
        <w:rPr>
          <w:rFonts w:ascii="宋体" w:hAnsi="宋体" w:eastAsia="宋体" w:cs="宋体"/>
          <w:b/>
          <w:kern w:val="0"/>
          <w:sz w:val="24"/>
        </w:rPr>
      </w:pPr>
      <w:r>
        <w:rPr>
          <w:rFonts w:hint="eastAsia" w:ascii="宋体" w:hAnsi="宋体" w:eastAsia="宋体" w:cs="宋体"/>
          <w:b/>
          <w:kern w:val="0"/>
          <w:sz w:val="24"/>
        </w:rPr>
        <w:t>实施和集成服务</w:t>
      </w:r>
      <w:r>
        <w:rPr>
          <w:rFonts w:ascii="宋体" w:hAnsi="宋体" w:eastAsia="宋体" w:cs="宋体"/>
          <w:b/>
          <w:kern w:val="0"/>
          <w:sz w:val="24"/>
        </w:rPr>
        <w:t xml:space="preserve">要求 </w:t>
      </w:r>
    </w:p>
    <w:p>
      <w:pPr>
        <w:pStyle w:val="8"/>
        <w:widowControl/>
        <w:spacing w:line="400" w:lineRule="exact"/>
        <w:ind w:firstLine="479" w:firstLineChars="218"/>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为医院信息化业务系统提供更可靠、更高性能和更便于管理、扩展的I</w:t>
      </w:r>
      <w:r>
        <w:rPr>
          <w:rFonts w:ascii="Times New Roman" w:hAnsi="Times New Roman" w:eastAsia="宋体" w:cs="Times New Roman"/>
          <w:kern w:val="0"/>
          <w:sz w:val="22"/>
          <w:szCs w:val="22"/>
        </w:rPr>
        <w:t>T</w:t>
      </w:r>
      <w:r>
        <w:rPr>
          <w:rFonts w:hint="eastAsia" w:ascii="Times New Roman" w:hAnsi="Times New Roman" w:eastAsia="宋体" w:cs="Times New Roman"/>
          <w:kern w:val="0"/>
          <w:sz w:val="22"/>
          <w:szCs w:val="22"/>
        </w:rPr>
        <w:t>基础设施平台，保证医院业务系统稳定运行。为保证平台顺利交付和稳定运行，需要成交供应商提供以下实施和集成服务：</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本建设项目，需要提供一份详细的设计和实施方案，要求设计和实施方案符合实际建设需求，从而确保项目可按时和按质量交付。</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完成本次</w:t>
      </w:r>
      <w:r>
        <w:rPr>
          <w:rFonts w:ascii="Times New Roman" w:hAnsi="Times New Roman" w:eastAsia="宋体" w:cs="Times New Roman"/>
          <w:kern w:val="0"/>
          <w:sz w:val="22"/>
          <w:szCs w:val="22"/>
        </w:rPr>
        <w:t>4</w:t>
      </w:r>
      <w:r>
        <w:rPr>
          <w:rFonts w:hint="eastAsia" w:ascii="Times New Roman" w:hAnsi="Times New Roman" w:eastAsia="宋体" w:cs="Times New Roman"/>
          <w:kern w:val="0"/>
          <w:sz w:val="22"/>
          <w:szCs w:val="22"/>
        </w:rPr>
        <w:t>个节点的超融合平台实施部署，包括但不限于与超融合设备配套相关的万兆交换机、服务器虚拟化软件等安装部署，要求交付的是一套完整的可用的超融合基础架构平台。</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协助把现有一部分业务系统或现有部署在其他平台的业务虚拟机迁移到新部署的超融合平台上。</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实施过程中，提供和超融合平台部署相关的辅材和线缆，包括但不限于线缆和设备的标签纸、光纤线缆和网线等。</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提供不少于</w:t>
      </w:r>
      <w:r>
        <w:rPr>
          <w:rFonts w:ascii="Times New Roman" w:hAnsi="Times New Roman" w:eastAsia="宋体" w:cs="Times New Roman"/>
          <w:kern w:val="0"/>
          <w:sz w:val="22"/>
          <w:szCs w:val="22"/>
        </w:rPr>
        <w:t>3</w:t>
      </w:r>
      <w:r>
        <w:rPr>
          <w:rFonts w:hint="eastAsia" w:ascii="Times New Roman" w:hAnsi="Times New Roman" w:eastAsia="宋体" w:cs="Times New Roman"/>
          <w:kern w:val="0"/>
          <w:sz w:val="22"/>
          <w:szCs w:val="22"/>
        </w:rPr>
        <w:t>人天的超融合和服务器虚拟化软件的培训服务。</w:t>
      </w:r>
    </w:p>
    <w:p>
      <w:pPr>
        <w:pStyle w:val="8"/>
        <w:widowControl/>
        <w:numPr>
          <w:ilvl w:val="0"/>
          <w:numId w:val="2"/>
        </w:numPr>
        <w:tabs>
          <w:tab w:val="left" w:pos="0"/>
          <w:tab w:val="clear" w:pos="420"/>
        </w:tabs>
        <w:spacing w:line="400" w:lineRule="exact"/>
        <w:ind w:left="0" w:leftChars="0" w:firstLine="440" w:firstLineChars="200"/>
        <w:jc w:val="both"/>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合同期内，针对本次采购的超融合平台，成交服务商需提供三年的免费现场服务、技术电话、远程技术支持，协助甲方解决故障问题。</w:t>
      </w:r>
    </w:p>
    <w:p>
      <w:pPr>
        <w:jc w:val="left"/>
        <w:rPr>
          <w:rFonts w:ascii="宋体" w:hAnsi="宋体" w:eastAsia="宋体"/>
        </w:rPr>
        <w:sectPr>
          <w:footerReference r:id="rId5" w:type="default"/>
          <w:pgSz w:w="11900" w:h="16840"/>
          <w:pgMar w:top="1440" w:right="1797" w:bottom="1440" w:left="1797" w:header="851" w:footer="992" w:gutter="0"/>
          <w:cols w:space="425" w:num="1"/>
          <w:docGrid w:type="lines" w:linePitch="312" w:charSpace="0"/>
        </w:sectPr>
      </w:pPr>
    </w:p>
    <w:p>
      <w:pPr>
        <w:spacing w:line="360" w:lineRule="auto"/>
        <w:ind w:left="-1" w:leftChars="-67" w:hanging="140" w:hangingChars="50"/>
        <w:rPr>
          <w:rFonts w:hint="eastAsia" w:ascii="黑体" w:hAnsi="黑体" w:eastAsia="黑体" w:cs="黑体"/>
          <w:b w:val="0"/>
          <w:bCs/>
          <w:sz w:val="28"/>
          <w:szCs w:val="28"/>
        </w:rPr>
      </w:pPr>
      <w:r>
        <w:rPr>
          <w:rFonts w:hint="eastAsia" w:ascii="黑体" w:hAnsi="黑体" w:eastAsia="黑体" w:cs="黑体"/>
          <w:b w:val="0"/>
          <w:bCs/>
          <w:sz w:val="28"/>
          <w:szCs w:val="28"/>
        </w:rPr>
        <w:t>附件2</w:t>
      </w:r>
    </w:p>
    <w:p>
      <w:pPr>
        <w:spacing w:line="360" w:lineRule="auto"/>
        <w:ind w:left="19" w:leftChars="-67" w:hanging="160" w:hangingChars="50"/>
        <w:jc w:val="center"/>
        <w:rPr>
          <w:rFonts w:ascii="微软雅黑" w:hAnsi="微软雅黑" w:eastAsia="微软雅黑"/>
          <w:b/>
          <w:sz w:val="32"/>
          <w:szCs w:val="32"/>
        </w:rPr>
      </w:pPr>
      <w:r>
        <w:rPr>
          <w:rFonts w:ascii="微软雅黑" w:hAnsi="微软雅黑" w:eastAsia="微软雅黑"/>
          <w:b/>
          <w:sz w:val="32"/>
          <w:szCs w:val="32"/>
        </w:rPr>
        <w:t>报名资料要求</w:t>
      </w:r>
    </w:p>
    <w:tbl>
      <w:tblPr>
        <w:tblStyle w:val="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285"/>
        <w:gridCol w:w="399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79"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文件</w:t>
            </w:r>
          </w:p>
        </w:tc>
        <w:tc>
          <w:tcPr>
            <w:tcW w:w="128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类型</w:t>
            </w:r>
          </w:p>
        </w:tc>
        <w:tc>
          <w:tcPr>
            <w:tcW w:w="3992"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内容</w:t>
            </w:r>
          </w:p>
        </w:tc>
        <w:tc>
          <w:tcPr>
            <w:tcW w:w="407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w:t>
            </w:r>
          </w:p>
        </w:tc>
        <w:tc>
          <w:tcPr>
            <w:tcW w:w="1285" w:type="dxa"/>
            <w:vMerge w:val="restart"/>
            <w:vAlign w:val="center"/>
          </w:tcPr>
          <w:p>
            <w:pPr>
              <w:spacing w:line="360" w:lineRule="auto"/>
              <w:jc w:val="center"/>
              <w:rPr>
                <w:rFonts w:ascii="微软雅黑" w:hAnsi="微软雅黑" w:eastAsia="微软雅黑"/>
                <w:b/>
                <w:szCs w:val="21"/>
              </w:rPr>
            </w:pPr>
            <w:r>
              <w:rPr>
                <w:rFonts w:hint="eastAsia" w:ascii="微软雅黑" w:hAnsi="微软雅黑" w:eastAsia="微软雅黑"/>
                <w:szCs w:val="21"/>
              </w:rPr>
              <w:t>报价资料、</w:t>
            </w:r>
            <w:r>
              <w:rPr>
                <w:rFonts w:ascii="微软雅黑" w:hAnsi="微软雅黑" w:eastAsia="微软雅黑" w:cs="宋体"/>
                <w:bCs/>
                <w:kern w:val="0"/>
                <w:szCs w:val="21"/>
              </w:rPr>
              <w:t>后续维护服务</w:t>
            </w:r>
          </w:p>
        </w:tc>
        <w:tc>
          <w:tcPr>
            <w:tcW w:w="3992" w:type="dxa"/>
            <w:vAlign w:val="center"/>
          </w:tcPr>
          <w:p>
            <w:pPr>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项目整体报价</w:t>
            </w:r>
            <w:r>
              <w:rPr>
                <w:rFonts w:hint="eastAsia" w:ascii="微软雅黑" w:hAnsi="微软雅黑" w:eastAsia="微软雅黑"/>
                <w:szCs w:val="21"/>
              </w:rPr>
              <w:t>及各功能点的响应情况和明细报价；</w:t>
            </w:r>
          </w:p>
        </w:tc>
        <w:tc>
          <w:tcPr>
            <w:tcW w:w="4075" w:type="dxa"/>
            <w:vMerge w:val="restart"/>
          </w:tcPr>
          <w:p>
            <w:pPr>
              <w:spacing w:line="500" w:lineRule="exact"/>
              <w:rPr>
                <w:rFonts w:ascii="微软雅黑" w:hAnsi="微软雅黑" w:eastAsia="微软雅黑"/>
                <w:szCs w:val="21"/>
              </w:rPr>
            </w:pPr>
            <w:r>
              <w:rPr>
                <w:rFonts w:hint="eastAsia" w:ascii="微软雅黑" w:hAnsi="微软雅黑" w:eastAsia="微软雅黑"/>
                <w:szCs w:val="21"/>
              </w:rPr>
              <w:t>（1）一份盖章扫描版，一份可编辑的WORD版或excel版；</w:t>
            </w:r>
          </w:p>
          <w:p>
            <w:pPr>
              <w:spacing w:line="500" w:lineRule="exact"/>
              <w:rPr>
                <w:rFonts w:ascii="微软雅黑" w:hAnsi="微软雅黑" w:eastAsia="微软雅黑"/>
                <w:szCs w:val="21"/>
              </w:rPr>
            </w:pPr>
            <w:r>
              <w:rPr>
                <w:rFonts w:hint="eastAsia" w:ascii="微软雅黑" w:hAnsi="微软雅黑" w:eastAsia="微软雅黑"/>
                <w:szCs w:val="21"/>
              </w:rPr>
              <w:t>（2）报价函扫描版请加盖贵司公章；</w:t>
            </w:r>
          </w:p>
          <w:p>
            <w:pPr>
              <w:spacing w:line="500" w:lineRule="exact"/>
              <w:rPr>
                <w:rFonts w:ascii="微软雅黑" w:hAnsi="微软雅黑" w:eastAsia="微软雅黑"/>
                <w:szCs w:val="21"/>
              </w:rPr>
            </w:pPr>
            <w:r>
              <w:rPr>
                <w:rFonts w:hint="eastAsia" w:ascii="微软雅黑" w:hAnsi="微软雅黑" w:eastAsia="微软雅黑"/>
                <w:szCs w:val="21"/>
              </w:rPr>
              <w:t>（3）相关售后质量及服务承诺。</w:t>
            </w:r>
          </w:p>
          <w:p>
            <w:pPr>
              <w:spacing w:line="500" w:lineRule="exact"/>
              <w:rPr>
                <w:rFonts w:ascii="微软雅黑" w:hAnsi="微软雅黑" w:eastAsia="微软雅黑"/>
                <w:szCs w:val="21"/>
              </w:rPr>
            </w:pPr>
            <w:r>
              <w:rPr>
                <w:rFonts w:hint="eastAsia" w:ascii="微软雅黑" w:hAnsi="微软雅黑" w:eastAsia="微软雅黑"/>
                <w:szCs w:val="21"/>
              </w:rPr>
              <w:t>（4）硬件清单明细报价需按各推荐品牌分别报价。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2</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公司资质</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szCs w:val="21"/>
              </w:rPr>
            </w:pPr>
            <w:r>
              <w:rPr>
                <w:rFonts w:hint="eastAsia" w:ascii="微软雅黑" w:hAnsi="微软雅黑" w:eastAsia="微软雅黑"/>
                <w:szCs w:val="21"/>
              </w:rPr>
              <w:t>（2）代理公司需提供授权代理资质；</w:t>
            </w:r>
          </w:p>
          <w:p>
            <w:pPr>
              <w:spacing w:line="360" w:lineRule="auto"/>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3</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实施方案、实施周期</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6" w:hRule="exact"/>
          <w:jc w:val="center"/>
        </w:trPr>
        <w:tc>
          <w:tcPr>
            <w:tcW w:w="679" w:type="dxa"/>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4</w:t>
            </w:r>
          </w:p>
        </w:tc>
        <w:tc>
          <w:tcPr>
            <w:tcW w:w="1285" w:type="dxa"/>
            <w:vAlign w:val="center"/>
          </w:tcPr>
          <w:p>
            <w:pPr>
              <w:spacing w:line="360" w:lineRule="auto"/>
              <w:jc w:val="center"/>
              <w:rPr>
                <w:rFonts w:ascii="微软雅黑" w:hAnsi="微软雅黑" w:eastAsia="微软雅黑"/>
                <w:szCs w:val="21"/>
              </w:rPr>
            </w:pPr>
            <w:r>
              <w:rPr>
                <w:rFonts w:ascii="微软雅黑" w:hAnsi="微软雅黑" w:eastAsia="微软雅黑" w:cs="宋体"/>
                <w:bCs/>
                <w:kern w:val="0"/>
                <w:szCs w:val="21"/>
              </w:rPr>
              <w:t>实施案例</w:t>
            </w: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w:t>
            </w:r>
            <w:r>
              <w:rPr>
                <w:rFonts w:hint="eastAsia" w:ascii="微软雅黑" w:hAnsi="微软雅黑" w:eastAsia="微软雅黑" w:cs="宋体"/>
                <w:kern w:val="0"/>
                <w:szCs w:val="21"/>
              </w:rPr>
              <w:t>及三家成功案例。</w:t>
            </w:r>
          </w:p>
          <w:p>
            <w:pPr>
              <w:spacing w:line="360" w:lineRule="auto"/>
              <w:rPr>
                <w:rFonts w:hint="eastAsia" w:ascii="微软雅黑" w:hAnsi="微软雅黑" w:eastAsia="微软雅黑" w:cs="宋体"/>
                <w:kern w:val="0"/>
                <w:szCs w:val="21"/>
              </w:rPr>
            </w:pPr>
            <w:r>
              <w:rPr>
                <w:rFonts w:hint="eastAsia" w:ascii="微软雅黑" w:hAnsi="微软雅黑" w:eastAsia="微软雅黑" w:cs="宋体"/>
                <w:kern w:val="0"/>
                <w:szCs w:val="21"/>
              </w:rPr>
              <w:t>（非必备条件）</w:t>
            </w:r>
          </w:p>
        </w:tc>
        <w:tc>
          <w:tcPr>
            <w:tcW w:w="4075" w:type="dxa"/>
          </w:tcPr>
          <w:p>
            <w:pPr>
              <w:spacing w:line="360" w:lineRule="auto"/>
              <w:rPr>
                <w:rFonts w:ascii="微软雅黑" w:hAnsi="微软雅黑" w:eastAsia="微软雅黑"/>
                <w:szCs w:val="21"/>
              </w:rPr>
            </w:pPr>
            <w:r>
              <w:rPr>
                <w:rFonts w:hint="eastAsia" w:ascii="微软雅黑" w:hAnsi="微软雅黑" w:eastAsia="微软雅黑"/>
                <w:szCs w:val="21"/>
              </w:rPr>
              <w:t>提供三家合同（含项目内容清单）复印件。文件以“合作项目+合作单位+合作金额”命名。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微软雅黑" w:hAnsi="微软雅黑" w:eastAsia="微软雅黑"/>
          <w:sz w:val="28"/>
          <w:szCs w:val="28"/>
        </w:rPr>
      </w:pPr>
    </w:p>
    <w:p>
      <w:pPr>
        <w:keepNext w:val="0"/>
        <w:keepLines w:val="0"/>
        <w:pageBreakBefore w:val="0"/>
        <w:widowControl w:val="0"/>
        <w:kinsoku/>
        <w:wordWrap/>
        <w:overflowPunct/>
        <w:topLinePunct w:val="0"/>
        <w:autoSpaceDE/>
        <w:autoSpaceDN/>
        <w:bidi w:val="0"/>
        <w:adjustRightInd/>
        <w:snapToGrid/>
        <w:spacing w:line="20" w:lineRule="exact"/>
        <w:ind w:left="-1" w:leftChars="-67" w:hanging="140" w:hangingChars="50"/>
        <w:textAlignment w:val="auto"/>
        <w:rPr>
          <w:rFonts w:hint="eastAsia" w:ascii="黑体" w:hAnsi="黑体" w:eastAsia="黑体" w:cs="黑体"/>
          <w:b w:val="0"/>
          <w:bCs/>
          <w:sz w:val="28"/>
          <w:szCs w:val="28"/>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ascii="宋体" w:hAnsi="宋体" w:eastAsia="宋体"/>
        </w:rPr>
      </w:pPr>
    </w:p>
    <w:sectPr>
      <w:pgSz w:w="11900" w:h="16840"/>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074722"/>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4AC23"/>
    <w:multiLevelType w:val="singleLevel"/>
    <w:tmpl w:val="8BD4AC23"/>
    <w:lvl w:ilvl="0" w:tentative="0">
      <w:start w:val="1"/>
      <w:numFmt w:val="decimal"/>
      <w:lvlText w:val="(%1)"/>
      <w:lvlJc w:val="left"/>
      <w:pPr>
        <w:tabs>
          <w:tab w:val="left" w:pos="420"/>
        </w:tabs>
        <w:ind w:left="420" w:leftChars="0" w:hanging="380" w:firstLineChars="0"/>
      </w:pPr>
      <w:rPr>
        <w:rFonts w:hint="default"/>
      </w:rPr>
    </w:lvl>
  </w:abstractNum>
  <w:abstractNum w:abstractNumId="1">
    <w:nsid w:val="056D57D1"/>
    <w:multiLevelType w:val="multilevel"/>
    <w:tmpl w:val="056D57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950"/>
    <w:rsid w:val="00005886"/>
    <w:rsid w:val="000365D6"/>
    <w:rsid w:val="0004588D"/>
    <w:rsid w:val="00053482"/>
    <w:rsid w:val="00055B6A"/>
    <w:rsid w:val="0005653A"/>
    <w:rsid w:val="00066330"/>
    <w:rsid w:val="00070968"/>
    <w:rsid w:val="00075E16"/>
    <w:rsid w:val="000A7314"/>
    <w:rsid w:val="000B2261"/>
    <w:rsid w:val="000C3621"/>
    <w:rsid w:val="000E1F56"/>
    <w:rsid w:val="000E69C5"/>
    <w:rsid w:val="00111329"/>
    <w:rsid w:val="00112ACC"/>
    <w:rsid w:val="00131C75"/>
    <w:rsid w:val="00135636"/>
    <w:rsid w:val="0013754E"/>
    <w:rsid w:val="00152FEC"/>
    <w:rsid w:val="00154A69"/>
    <w:rsid w:val="00166044"/>
    <w:rsid w:val="00177097"/>
    <w:rsid w:val="001951CA"/>
    <w:rsid w:val="00197826"/>
    <w:rsid w:val="001A6DBE"/>
    <w:rsid w:val="001D615E"/>
    <w:rsid w:val="002011C8"/>
    <w:rsid w:val="0020218F"/>
    <w:rsid w:val="00211A01"/>
    <w:rsid w:val="00213943"/>
    <w:rsid w:val="002218DF"/>
    <w:rsid w:val="0023074A"/>
    <w:rsid w:val="00230E1E"/>
    <w:rsid w:val="00232958"/>
    <w:rsid w:val="00282AF9"/>
    <w:rsid w:val="0029415E"/>
    <w:rsid w:val="002A26F2"/>
    <w:rsid w:val="002A31E8"/>
    <w:rsid w:val="002A4659"/>
    <w:rsid w:val="002C7461"/>
    <w:rsid w:val="002D11F9"/>
    <w:rsid w:val="002E40F6"/>
    <w:rsid w:val="002F1C39"/>
    <w:rsid w:val="002F5DA0"/>
    <w:rsid w:val="00327136"/>
    <w:rsid w:val="00332847"/>
    <w:rsid w:val="00337BD7"/>
    <w:rsid w:val="0037742E"/>
    <w:rsid w:val="00396B38"/>
    <w:rsid w:val="003A3F68"/>
    <w:rsid w:val="003B6534"/>
    <w:rsid w:val="003C34F6"/>
    <w:rsid w:val="003C618A"/>
    <w:rsid w:val="003D3F73"/>
    <w:rsid w:val="003D5589"/>
    <w:rsid w:val="003E5E22"/>
    <w:rsid w:val="003E61A3"/>
    <w:rsid w:val="003F01CF"/>
    <w:rsid w:val="0040587C"/>
    <w:rsid w:val="00441AA5"/>
    <w:rsid w:val="00443EFA"/>
    <w:rsid w:val="00444E72"/>
    <w:rsid w:val="00451877"/>
    <w:rsid w:val="00461DF7"/>
    <w:rsid w:val="00483888"/>
    <w:rsid w:val="004D4C2C"/>
    <w:rsid w:val="004E11B1"/>
    <w:rsid w:val="00513F2D"/>
    <w:rsid w:val="0052770E"/>
    <w:rsid w:val="005335B4"/>
    <w:rsid w:val="00545C9B"/>
    <w:rsid w:val="0055205A"/>
    <w:rsid w:val="00561390"/>
    <w:rsid w:val="00563992"/>
    <w:rsid w:val="00592BD1"/>
    <w:rsid w:val="005C6922"/>
    <w:rsid w:val="005E2054"/>
    <w:rsid w:val="005E7481"/>
    <w:rsid w:val="00613EDD"/>
    <w:rsid w:val="00615C42"/>
    <w:rsid w:val="00623AA5"/>
    <w:rsid w:val="0062542D"/>
    <w:rsid w:val="00633D8A"/>
    <w:rsid w:val="00637942"/>
    <w:rsid w:val="0066563A"/>
    <w:rsid w:val="00665BF7"/>
    <w:rsid w:val="00676E2F"/>
    <w:rsid w:val="00680A9E"/>
    <w:rsid w:val="00686149"/>
    <w:rsid w:val="006B44A7"/>
    <w:rsid w:val="006D159E"/>
    <w:rsid w:val="006E46D8"/>
    <w:rsid w:val="006E4950"/>
    <w:rsid w:val="006E76CA"/>
    <w:rsid w:val="006F2719"/>
    <w:rsid w:val="006F3D85"/>
    <w:rsid w:val="007257BE"/>
    <w:rsid w:val="0074731B"/>
    <w:rsid w:val="007608D7"/>
    <w:rsid w:val="00763846"/>
    <w:rsid w:val="0077278E"/>
    <w:rsid w:val="007764A2"/>
    <w:rsid w:val="007930A2"/>
    <w:rsid w:val="0079798B"/>
    <w:rsid w:val="007B50F3"/>
    <w:rsid w:val="007E6B60"/>
    <w:rsid w:val="007F1CB0"/>
    <w:rsid w:val="00806617"/>
    <w:rsid w:val="00811A4B"/>
    <w:rsid w:val="00824E95"/>
    <w:rsid w:val="008371A0"/>
    <w:rsid w:val="00850F89"/>
    <w:rsid w:val="00857BB0"/>
    <w:rsid w:val="008649B7"/>
    <w:rsid w:val="00873BA7"/>
    <w:rsid w:val="00894DC1"/>
    <w:rsid w:val="008A06ED"/>
    <w:rsid w:val="008C1448"/>
    <w:rsid w:val="008C6E46"/>
    <w:rsid w:val="008D7831"/>
    <w:rsid w:val="008E4BB5"/>
    <w:rsid w:val="009025FD"/>
    <w:rsid w:val="009054B4"/>
    <w:rsid w:val="009070DE"/>
    <w:rsid w:val="00926018"/>
    <w:rsid w:val="00927E7D"/>
    <w:rsid w:val="009359BD"/>
    <w:rsid w:val="0093694C"/>
    <w:rsid w:val="00953434"/>
    <w:rsid w:val="00954BED"/>
    <w:rsid w:val="009654A4"/>
    <w:rsid w:val="00993A55"/>
    <w:rsid w:val="009978DE"/>
    <w:rsid w:val="009A1889"/>
    <w:rsid w:val="009D3ADF"/>
    <w:rsid w:val="009D75D2"/>
    <w:rsid w:val="009E65DE"/>
    <w:rsid w:val="009F0401"/>
    <w:rsid w:val="009F0ACE"/>
    <w:rsid w:val="009F0C0E"/>
    <w:rsid w:val="00A639F5"/>
    <w:rsid w:val="00A67701"/>
    <w:rsid w:val="00A721BC"/>
    <w:rsid w:val="00A82F87"/>
    <w:rsid w:val="00A83DA2"/>
    <w:rsid w:val="00A85EF3"/>
    <w:rsid w:val="00A9627B"/>
    <w:rsid w:val="00AA33A1"/>
    <w:rsid w:val="00AB07D9"/>
    <w:rsid w:val="00AB5414"/>
    <w:rsid w:val="00AF375E"/>
    <w:rsid w:val="00B0524B"/>
    <w:rsid w:val="00B20A70"/>
    <w:rsid w:val="00B22752"/>
    <w:rsid w:val="00B54E84"/>
    <w:rsid w:val="00B632E0"/>
    <w:rsid w:val="00B65BEB"/>
    <w:rsid w:val="00B9397A"/>
    <w:rsid w:val="00B93CC0"/>
    <w:rsid w:val="00BC3427"/>
    <w:rsid w:val="00BC7FA2"/>
    <w:rsid w:val="00BD5504"/>
    <w:rsid w:val="00BD5BBF"/>
    <w:rsid w:val="00BE466D"/>
    <w:rsid w:val="00BE5BDB"/>
    <w:rsid w:val="00C00EDA"/>
    <w:rsid w:val="00C10EEA"/>
    <w:rsid w:val="00C16883"/>
    <w:rsid w:val="00C61FBF"/>
    <w:rsid w:val="00C657FF"/>
    <w:rsid w:val="00C659B0"/>
    <w:rsid w:val="00C91A9A"/>
    <w:rsid w:val="00CC0A11"/>
    <w:rsid w:val="00CC6086"/>
    <w:rsid w:val="00CD0A37"/>
    <w:rsid w:val="00CD3F1F"/>
    <w:rsid w:val="00D00FC0"/>
    <w:rsid w:val="00D03305"/>
    <w:rsid w:val="00D23A31"/>
    <w:rsid w:val="00D27476"/>
    <w:rsid w:val="00D363FE"/>
    <w:rsid w:val="00D44E37"/>
    <w:rsid w:val="00D619BF"/>
    <w:rsid w:val="00D77B24"/>
    <w:rsid w:val="00DA5E00"/>
    <w:rsid w:val="00DA60A7"/>
    <w:rsid w:val="00DC10A4"/>
    <w:rsid w:val="00DC5964"/>
    <w:rsid w:val="00DC6222"/>
    <w:rsid w:val="00DF36DD"/>
    <w:rsid w:val="00E17D8B"/>
    <w:rsid w:val="00E2572D"/>
    <w:rsid w:val="00E322EA"/>
    <w:rsid w:val="00E417DB"/>
    <w:rsid w:val="00E561C8"/>
    <w:rsid w:val="00E563FB"/>
    <w:rsid w:val="00E67572"/>
    <w:rsid w:val="00E67C64"/>
    <w:rsid w:val="00E86B99"/>
    <w:rsid w:val="00E979C4"/>
    <w:rsid w:val="00EA1DE3"/>
    <w:rsid w:val="00EA66FC"/>
    <w:rsid w:val="00EF477C"/>
    <w:rsid w:val="00EF4C75"/>
    <w:rsid w:val="00EF51F0"/>
    <w:rsid w:val="00F06ECF"/>
    <w:rsid w:val="00F230B0"/>
    <w:rsid w:val="00F35A5F"/>
    <w:rsid w:val="00F42119"/>
    <w:rsid w:val="00F430F7"/>
    <w:rsid w:val="00F5011C"/>
    <w:rsid w:val="00F625B4"/>
    <w:rsid w:val="00F77DA5"/>
    <w:rsid w:val="00F819C0"/>
    <w:rsid w:val="00F86164"/>
    <w:rsid w:val="00FA2FF7"/>
    <w:rsid w:val="00FB0DA7"/>
    <w:rsid w:val="00FE0FFE"/>
    <w:rsid w:val="27953A28"/>
    <w:rsid w:val="2D632C2C"/>
    <w:rsid w:val="2F2F2BF7"/>
    <w:rsid w:val="4C3B12F1"/>
    <w:rsid w:val="57F51E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a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1028</Words>
  <Characters>5863</Characters>
  <Lines>48</Lines>
  <Paragraphs>13</Paragraphs>
  <TotalTime>17</TotalTime>
  <ScaleCrop>false</ScaleCrop>
  <LinksUpToDate>false</LinksUpToDate>
  <CharactersWithSpaces>6878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2020-06-15T08:55:00Z</dcterms:created>
  <dc:creator>zfj19910321@gmail.com</dc:creator>
  <cp:lastModifiedBy>- 杰 -</cp:lastModifiedBy>
  <dcterms:modified xsi:type="dcterms:W3CDTF">2020-06-28T08:28:37Z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